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CF" w:rsidRPr="00FA056B" w:rsidRDefault="007474D7">
      <w:pPr>
        <w:spacing w:after="250"/>
        <w:ind w:right="3966"/>
        <w:jc w:val="center"/>
        <w:rPr>
          <w:rFonts w:asciiTheme="minorHAnsi" w:hAnsiTheme="minorHAnsi"/>
        </w:rPr>
      </w:pPr>
      <w:r w:rsidRPr="00FA056B">
        <w:rPr>
          <w:rFonts w:asciiTheme="minorHAnsi" w:eastAsia="Arial Rounded MT" w:hAnsiTheme="minorHAnsi" w:cs="Arial Rounded MT"/>
          <w:b/>
        </w:rPr>
        <w:t xml:space="preserve"> </w:t>
      </w:r>
      <w:r w:rsidR="00B078CA" w:rsidRPr="00FA056B">
        <w:rPr>
          <w:rFonts w:asciiTheme="minorHAnsi" w:eastAsia="Arial Rounded MT" w:hAnsiTheme="minorHAnsi" w:cs="Arial Rounded MT"/>
          <w:b/>
          <w:noProof/>
        </w:rPr>
        <w:drawing>
          <wp:inline distT="0" distB="0" distL="0" distR="0" wp14:anchorId="46D75A18">
            <wp:extent cx="878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5CF" w:rsidRPr="00FA056B" w:rsidRDefault="00B078CA">
      <w:pPr>
        <w:spacing w:after="221"/>
        <w:ind w:right="4022"/>
        <w:jc w:val="center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>St Gregory’s</w:t>
      </w:r>
      <w:r w:rsidR="007474D7" w:rsidRPr="00FA056B">
        <w:rPr>
          <w:rFonts w:asciiTheme="minorHAnsi" w:eastAsia="Comic Sans MS" w:hAnsiTheme="minorHAnsi" w:cs="Comic Sans MS"/>
        </w:rPr>
        <w:t xml:space="preserve"> CE VA Primary School </w:t>
      </w:r>
    </w:p>
    <w:p w:rsidR="000855CF" w:rsidRPr="00FA056B" w:rsidRDefault="007474D7">
      <w:pPr>
        <w:spacing w:after="0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 xml:space="preserve">Pupil Premium Strategy Statement </w:t>
      </w:r>
      <w:r w:rsidR="004D3215">
        <w:rPr>
          <w:rFonts w:asciiTheme="minorHAnsi" w:eastAsia="Comic Sans MS" w:hAnsiTheme="minorHAnsi" w:cs="Comic Sans MS"/>
        </w:rPr>
        <w:t>July</w:t>
      </w:r>
      <w:r w:rsidRPr="00FA056B">
        <w:rPr>
          <w:rFonts w:asciiTheme="minorHAnsi" w:eastAsia="Comic Sans MS" w:hAnsiTheme="minorHAnsi" w:cs="Comic Sans MS"/>
        </w:rPr>
        <w:t xml:space="preserve"> 2020 – </w:t>
      </w:r>
      <w:r w:rsidR="004D3215">
        <w:rPr>
          <w:rFonts w:asciiTheme="minorHAnsi" w:eastAsia="Comic Sans MS" w:hAnsiTheme="minorHAnsi" w:cs="Comic Sans MS"/>
        </w:rPr>
        <w:t>July</w:t>
      </w:r>
      <w:r w:rsidRPr="00FA056B">
        <w:rPr>
          <w:rFonts w:asciiTheme="minorHAnsi" w:eastAsia="Comic Sans MS" w:hAnsiTheme="minorHAnsi" w:cs="Comic Sans MS"/>
        </w:rPr>
        <w:t xml:space="preserve"> 2021 </w:t>
      </w:r>
    </w:p>
    <w:tbl>
      <w:tblPr>
        <w:tblStyle w:val="TableGrid"/>
        <w:tblW w:w="14176" w:type="dxa"/>
        <w:tblInd w:w="-3996" w:type="dxa"/>
        <w:tblCellMar>
          <w:top w:w="6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61"/>
        <w:gridCol w:w="2362"/>
        <w:gridCol w:w="2364"/>
        <w:gridCol w:w="2362"/>
        <w:gridCol w:w="2362"/>
        <w:gridCol w:w="2365"/>
      </w:tblGrid>
      <w:tr w:rsidR="000855CF" w:rsidRPr="00FA056B">
        <w:trPr>
          <w:trHeight w:val="31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5CF" w:rsidRPr="00FA056B" w:rsidRDefault="007474D7">
            <w:pPr>
              <w:ind w:left="360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1.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Summary Information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School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5CF" w:rsidRPr="00FA056B" w:rsidRDefault="00B078CA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St Gregory’s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Primary School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62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Academic Year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2020-21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PPG Grant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5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£10,495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Date of most recent PPG Review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  <w:tr w:rsidR="000855CF" w:rsidRPr="00FA056B">
        <w:trPr>
          <w:trHeight w:val="9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number of pupils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4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100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number of eligible pupils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B078CA">
            <w:pPr>
              <w:ind w:right="47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1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Date of next internal review of this strategy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4D3215">
            <w:pPr>
              <w:ind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 xml:space="preserve">July </w:t>
            </w:r>
            <w:r w:rsidR="00AA7FF3">
              <w:rPr>
                <w:rFonts w:asciiTheme="minorHAnsi" w:eastAsia="Comic Sans MS" w:hAnsiTheme="minorHAnsi" w:cs="Comic Sans MS"/>
              </w:rPr>
              <w:t>2021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</w:tbl>
    <w:p w:rsidR="000855CF" w:rsidRPr="00FA056B" w:rsidRDefault="007474D7">
      <w:pPr>
        <w:spacing w:after="0"/>
        <w:ind w:right="3956"/>
        <w:jc w:val="center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 xml:space="preserve"> </w:t>
      </w:r>
    </w:p>
    <w:tbl>
      <w:tblPr>
        <w:tblStyle w:val="TableGrid"/>
        <w:tblW w:w="14176" w:type="dxa"/>
        <w:tblInd w:w="-3996" w:type="dxa"/>
        <w:tblCellMar>
          <w:top w:w="68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235"/>
        <w:gridCol w:w="127"/>
        <w:gridCol w:w="2363"/>
        <w:gridCol w:w="2363"/>
        <w:gridCol w:w="2362"/>
        <w:gridCol w:w="158"/>
        <w:gridCol w:w="2205"/>
        <w:gridCol w:w="2363"/>
      </w:tblGrid>
      <w:tr w:rsidR="000855CF" w:rsidRPr="00FA056B">
        <w:trPr>
          <w:trHeight w:val="317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362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>2.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Barriers to future attainment ( for pupils eligible for PPG) </w:t>
            </w:r>
          </w:p>
          <w:p w:rsidR="00FA056B" w:rsidRPr="00FA056B" w:rsidRDefault="00FA056B">
            <w:pPr>
              <w:ind w:left="362"/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7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 w:rsidP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In-school barriers </w:t>
            </w:r>
          </w:p>
        </w:tc>
      </w:tr>
      <w:tr w:rsidR="000855CF" w:rsidRPr="00FA056B" w:rsidTr="00FA056B">
        <w:trPr>
          <w:trHeight w:val="9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38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 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B078CA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T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rends are difficult to measure </w:t>
            </w:r>
            <w:r w:rsidRPr="00FA056B">
              <w:rPr>
                <w:rFonts w:asciiTheme="minorHAnsi" w:eastAsia="Comic Sans MS" w:hAnsiTheme="minorHAnsi" w:cs="Comic Sans MS"/>
              </w:rPr>
              <w:t>across year groups because the groups are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statistically small. The focus is on every individual child and meeting their needs </w:t>
            </w:r>
          </w:p>
        </w:tc>
      </w:tr>
      <w:tr w:rsidR="000855CF" w:rsidRPr="00FA056B" w:rsidTr="00FA056B">
        <w:trPr>
          <w:trHeight w:val="6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1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B 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Some of our PPG eligible pupils have dropped </w:t>
            </w:r>
            <w:r w:rsidR="00B078CA" w:rsidRPr="00FA056B">
              <w:rPr>
                <w:rFonts w:asciiTheme="minorHAnsi" w:eastAsia="Comic Sans MS" w:hAnsiTheme="minorHAnsi" w:cs="Comic Sans MS"/>
              </w:rPr>
              <w:t xml:space="preserve">behind their peers and in some instances the </w:t>
            </w:r>
            <w:r w:rsidRPr="00FA056B">
              <w:rPr>
                <w:rFonts w:asciiTheme="minorHAnsi" w:eastAsia="Comic Sans MS" w:hAnsiTheme="minorHAnsi" w:cs="Comic Sans MS"/>
              </w:rPr>
              <w:t>gap appea</w:t>
            </w:r>
            <w:r w:rsidR="00B078CA" w:rsidRPr="00FA056B">
              <w:rPr>
                <w:rFonts w:asciiTheme="minorHAnsi" w:eastAsia="Comic Sans MS" w:hAnsiTheme="minorHAnsi" w:cs="Comic Sans MS"/>
              </w:rPr>
              <w:t xml:space="preserve">rs to be widening, these children have been identified as having SEND needs and are now on the SEND register - </w:t>
            </w: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FA056B" w:rsidRPr="00FA056B" w:rsidRDefault="00FA056B" w:rsidP="00FA056B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4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External Barriers ( issues which also require action outside school, such as low attendance rates) </w:t>
            </w:r>
          </w:p>
        </w:tc>
      </w:tr>
      <w:tr w:rsidR="000855CF" w:rsidRPr="00FA056B" w:rsidTr="00FA056B">
        <w:trPr>
          <w:trHeight w:val="6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FA056B">
            <w:pPr>
              <w:ind w:right="40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lastRenderedPageBreak/>
              <w:t>C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hAnsiTheme="minorHAnsi"/>
              </w:rPr>
              <w:t>Lack of support from parents in engaging with home learning, reading activities, online platforms for learning, behaviour issues and working closely with school</w:t>
            </w:r>
          </w:p>
        </w:tc>
      </w:tr>
      <w:tr w:rsidR="000855CF" w:rsidRPr="00FA056B" w:rsidTr="00FA056B">
        <w:trPr>
          <w:trHeight w:val="317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36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3.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Desired Outcomes ( and how they will be measured)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Success Criteria </w:t>
            </w:r>
          </w:p>
        </w:tc>
      </w:tr>
      <w:tr w:rsidR="00FA056B" w:rsidRPr="00FA056B" w:rsidTr="00237A82">
        <w:trPr>
          <w:trHeight w:val="712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track progress termly, making sure all disadvantaged pupils make expected progress in </w:t>
            </w:r>
          </w:p>
          <w:p w:rsidR="00FA056B" w:rsidRPr="00FA056B" w:rsidRDefault="00FA056B" w:rsidP="00342DAA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R,W,M with interventions planned to accelerate their learning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Disadvantaged pupils to be making </w:t>
            </w:r>
          </w:p>
          <w:p w:rsidR="00FA056B" w:rsidRPr="00FA056B" w:rsidRDefault="00FA056B" w:rsidP="00237A82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accelerated progress to close the gap </w:t>
            </w:r>
          </w:p>
        </w:tc>
      </w:tr>
      <w:tr w:rsidR="000855CF" w:rsidRPr="00FA056B" w:rsidTr="00FA056B">
        <w:trPr>
          <w:trHeight w:val="624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take a whole school ‘pupil premium first’ approach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Children make accelerated progress through clear and specific targets </w:t>
            </w:r>
          </w:p>
        </w:tc>
      </w:tr>
      <w:tr w:rsidR="000855CF" w:rsidRPr="00FA056B" w:rsidTr="00FA056B">
        <w:trPr>
          <w:trHeight w:val="622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To ensure that all PPG pupils hav</w:t>
            </w:r>
            <w:r w:rsidR="00FA056B">
              <w:rPr>
                <w:rFonts w:asciiTheme="minorHAnsi" w:eastAsia="Comic Sans MS" w:hAnsiTheme="minorHAnsi" w:cs="Comic Sans MS"/>
              </w:rPr>
              <w:t>e access to ELSA/nurture groups/ Outdoor learning</w:t>
            </w:r>
            <w:r w:rsidR="00AA7FF3">
              <w:rPr>
                <w:rFonts w:asciiTheme="minorHAnsi" w:eastAsia="Comic Sans MS" w:hAnsiTheme="minorHAnsi" w:cs="Comic Sans MS"/>
              </w:rPr>
              <w:t xml:space="preserve"> where required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 w:rsidP="00FA056B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All pupils requiring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  <w:r w:rsidR="00FA056B">
              <w:rPr>
                <w:rFonts w:asciiTheme="minorHAnsi" w:eastAsia="Comic Sans MS" w:hAnsiTheme="minorHAnsi" w:cs="Comic Sans MS"/>
              </w:rPr>
              <w:t>ELSA / Nurture / Outdoor learning opportunities</w:t>
            </w:r>
            <w:r>
              <w:rPr>
                <w:rFonts w:asciiTheme="minorHAnsi" w:eastAsia="Comic Sans MS" w:hAnsiTheme="minorHAnsi" w:cs="Comic Sans MS"/>
              </w:rPr>
              <w:t xml:space="preserve"> access them</w:t>
            </w:r>
          </w:p>
        </w:tc>
      </w:tr>
      <w:tr w:rsidR="000855CF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provide targeted intervention for pupils attaining below expected levels including those not reaching the standard in phonics (Y1, Y2 and Y3)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Default="007474D7">
            <w:pPr>
              <w:ind w:right="23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Improve phonics pass rate % in year 1 and 2 and phonic </w:t>
            </w:r>
            <w:r w:rsidR="00FA056B">
              <w:rPr>
                <w:rFonts w:asciiTheme="minorHAnsi" w:eastAsia="Comic Sans MS" w:hAnsiTheme="minorHAnsi" w:cs="Comic Sans MS"/>
              </w:rPr>
              <w:t>strategies for reading in year.</w:t>
            </w:r>
          </w:p>
          <w:p w:rsidR="000855CF" w:rsidRPr="00FA056B" w:rsidRDefault="000855CF">
            <w:pPr>
              <w:ind w:right="23"/>
              <w:rPr>
                <w:rFonts w:asciiTheme="minorHAnsi" w:hAnsiTheme="minorHAnsi"/>
              </w:rPr>
            </w:pPr>
          </w:p>
        </w:tc>
      </w:tr>
      <w:tr w:rsidR="000855CF" w:rsidRPr="00FA056B" w:rsidTr="00FA056B">
        <w:trPr>
          <w:trHeight w:val="929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increase the % of pupils in KS1 meeting ARE and achieving greater depth ( including disadvantaged pupils) in R,W,M so they are better prepared for the next steps of their education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27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% of pupils achieving ARE &amp; Greater depth in KS1 in R,W,M and combined scores </w:t>
            </w:r>
          </w:p>
        </w:tc>
      </w:tr>
      <w:tr w:rsidR="000855CF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increase the % of pupils making expected or better than expected progress in reading, writing and maths throughout KS2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spacing w:line="239" w:lineRule="auto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Progress in KS2 reading maths and writing is at least expected. </w:t>
            </w:r>
          </w:p>
          <w:p w:rsidR="000855CF" w:rsidRPr="00FA056B" w:rsidRDefault="007474D7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  <w:tr w:rsidR="00FA056B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ind w:left="2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To improve the level of engagement from parents </w:t>
            </w:r>
            <w:r w:rsidR="00157AF4">
              <w:rPr>
                <w:rFonts w:asciiTheme="minorHAnsi" w:eastAsia="Comic Sans MS" w:hAnsiTheme="minorHAnsi" w:cs="Comic Sans MS"/>
              </w:rPr>
              <w:t>of PPG children by communicating</w:t>
            </w:r>
            <w:r>
              <w:rPr>
                <w:rFonts w:asciiTheme="minorHAnsi" w:eastAsia="Comic Sans MS" w:hAnsiTheme="minorHAnsi" w:cs="Comic Sans MS"/>
              </w:rPr>
              <w:t xml:space="preserve"> regularly with parents and monitoring children accessing online platforms / reading records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Pr="00FA056B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Parents of PPG children will be fully engaged with their child’s learning at home</w:t>
            </w:r>
          </w:p>
        </w:tc>
      </w:tr>
      <w:tr w:rsidR="00157AF4" w:rsidRPr="00FA056B" w:rsidTr="00E33213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4. PLANNED EXPENDITURE for year </w:t>
            </w:r>
          </w:p>
        </w:tc>
      </w:tr>
      <w:tr w:rsidR="00157AF4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Financial Year 2020-21</w:t>
            </w:r>
          </w:p>
        </w:tc>
      </w:tr>
      <w:tr w:rsidR="00157AF4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B33271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lastRenderedPageBreak/>
              <w:t>The three headings below enable schools to demonstrate how they are using the Pupil Premium Grant to improve classroom pedagogy, provide targeted support and support whole school strategies</w:t>
            </w:r>
          </w:p>
        </w:tc>
      </w:tr>
      <w:tr w:rsidR="00B33271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Quality First Teaching for all</w:t>
            </w: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1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Desired Outcome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Chosen action/approach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spacing w:line="239" w:lineRule="auto"/>
              <w:ind w:left="14" w:right="14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What is the evidence and </w:t>
            </w:r>
          </w:p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rationale for this choice?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How will you ensure it is implemented well?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1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Staff Lead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Impact </w:t>
            </w:r>
            <w:r w:rsidR="004D3215">
              <w:rPr>
                <w:rFonts w:asciiTheme="minorHAnsi" w:eastAsia="Comic Sans MS" w:hAnsiTheme="minorHAnsi" w:cs="Comic Sans MS"/>
              </w:rPr>
              <w:t>Review July 2021</w:t>
            </w: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Staff are upskilled on reading interventions and catch up strategies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>Training for staff on reading interventions including Paired</w:t>
            </w:r>
          </w:p>
          <w:p w:rsidR="00B33271" w:rsidRP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 reading, guided reading, phonics  Reading catch up </w:t>
            </w:r>
          </w:p>
          <w:p w:rsidR="00B33271" w:rsidRP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programmes led by </w:t>
            </w:r>
            <w:r>
              <w:rPr>
                <w:rFonts w:asciiTheme="minorHAnsi" w:eastAsia="Comic Sans MS" w:hAnsiTheme="minorHAnsi" w:cs="Comic Sans MS"/>
              </w:rPr>
              <w:t>Teachers / TAs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Reading results are not improving rapidly enough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Timetabled INSET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for staff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B33271" w:rsidRDefault="00B33271" w:rsidP="00B33271">
            <w:pPr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Pupil progress </w:t>
            </w:r>
            <w:r>
              <w:rPr>
                <w:rFonts w:asciiTheme="minorHAnsi" w:eastAsia="Comic Sans MS" w:hAnsiTheme="minorHAnsi" w:cs="Comic Sans MS"/>
              </w:rPr>
              <w:t>meetings</w:t>
            </w:r>
          </w:p>
          <w:p w:rsidR="00B33271" w:rsidRDefault="00B33271" w:rsidP="00B33271">
            <w:pPr>
              <w:rPr>
                <w:rFonts w:asciiTheme="minorHAnsi" w:eastAsia="Comic Sans MS" w:hAnsiTheme="minorHAnsi" w:cs="Comic Sans MS"/>
              </w:rPr>
            </w:pP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Monitoring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LE / CC</w:t>
            </w:r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91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Improve love of reading and access to high quality  texts that link to class topics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3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Focus on high quality reading environments Engagement in texts through whole class texts and improved reading material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Children are currently not exposed enough to high quality texts to ignite a love in reading and this is a key element of the primary curriculum.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Whole school </w:t>
            </w:r>
          </w:p>
          <w:p w:rsidR="00B33271" w:rsidRPr="00B33271" w:rsidRDefault="00B33271" w:rsidP="00B33271">
            <w:pPr>
              <w:ind w:right="253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Reading Week Drop ins and check and environments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Default="00AA7FF3" w:rsidP="00B33271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LE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49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Improve and maintain high standards of QTF through focus on marking and feedback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spacing w:line="239" w:lineRule="auto"/>
              <w:ind w:right="259"/>
              <w:jc w:val="both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Review marking and feedback policy Joint work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proofErr w:type="spellStart"/>
            <w:r w:rsidRPr="00B33271">
              <w:rPr>
                <w:rFonts w:asciiTheme="minorHAnsi" w:eastAsia="Comic Sans MS" w:hAnsiTheme="minorHAnsi" w:cs="Comic Sans MS"/>
              </w:rPr>
              <w:t>scrutinies</w:t>
            </w:r>
            <w:proofErr w:type="spellEnd"/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Marking INSET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Marking does not always lead to improvement and careful planning of next steps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Regular book looks and work scrutiny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AA7FF3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DF / KB / CC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ind w:right="4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spacing w:line="239" w:lineRule="auto"/>
              <w:ind w:right="259"/>
              <w:jc w:val="both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£5500</w:t>
            </w:r>
          </w:p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351498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lastRenderedPageBreak/>
              <w:t>TARGETED SUPPORT</w:t>
            </w:r>
          </w:p>
        </w:tc>
      </w:tr>
      <w:tr w:rsidR="00AA7FF3" w:rsidRPr="00FA056B" w:rsidTr="00321B61">
        <w:trPr>
          <w:trHeight w:val="545"/>
        </w:trPr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46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close the gaps between PPG children and their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peers/ AREs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enable pupils needing ‘catch up’ reading, writing and </w:t>
            </w:r>
          </w:p>
          <w:p w:rsidR="00AA7FF3" w:rsidRPr="007474D7" w:rsidRDefault="00AA7FF3" w:rsidP="00B33271">
            <w:pPr>
              <w:ind w:right="94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maths to receive regular interventions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Careful analysis of individual pupil data shows slowing of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progress and need for interventions to catch up.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41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Timetabled and specific interventions that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are target driven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Head 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B33271" w:rsidRDefault="00AA7FF3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AA7FF3" w:rsidRPr="00FA056B" w:rsidTr="00321B61">
        <w:trPr>
          <w:trHeight w:val="545"/>
        </w:trPr>
        <w:tc>
          <w:tcPr>
            <w:tcW w:w="23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94"/>
              <w:rPr>
                <w:rFonts w:asciiTheme="minorHAnsi" w:hAnsiTheme="minorHAnsi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B33271" w:rsidRDefault="00AA7FF3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24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ensure social and emotional needs of all pupils are supported and developed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spacing w:after="1" w:line="238" w:lineRule="auto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ensure all pupils have access to ELSA or nurture sessions  </w:t>
            </w:r>
          </w:p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weekly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Careful analysis of individual need have shown SEMH needs to be impacting on this group of pupils.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62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Sessions will be timetabled and based around PSHE/ SEMH need.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&amp; ELSA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develop learning of ‘the whole child’ including developing talents and hobbies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enable pupils to broaden their experiences through accessing additional activities such as music lessons or sports provision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79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For pupils in ks2 who are not accessing other pupil premium support or where finance is a barrier to accessing enrichment activities these will be offered will be offered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Records or support </w:t>
            </w:r>
          </w:p>
          <w:p w:rsidR="00B33271" w:rsidRPr="007474D7" w:rsidRDefault="00B33271" w:rsidP="00B33271">
            <w:pPr>
              <w:spacing w:after="1" w:line="238" w:lineRule="auto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will be held individually and reviewed termly between </w:t>
            </w:r>
          </w:p>
          <w:p w:rsidR="00B33271" w:rsidRPr="007474D7" w:rsidRDefault="00B33271" w:rsidP="00B33271">
            <w:pPr>
              <w:spacing w:line="239" w:lineRule="auto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Headteacher/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/ </w:t>
            </w:r>
          </w:p>
          <w:p w:rsidR="00B33271" w:rsidRPr="007474D7" w:rsidRDefault="00126A36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>C</w:t>
            </w:r>
            <w:r w:rsidR="00B33271" w:rsidRPr="007474D7">
              <w:rPr>
                <w:rFonts w:asciiTheme="minorHAnsi" w:eastAsia="Comic Sans MS" w:hAnsiTheme="minorHAnsi" w:cs="Comic Sans MS"/>
              </w:rPr>
              <w:t>lass</w:t>
            </w:r>
            <w:r>
              <w:rPr>
                <w:rFonts w:asciiTheme="minorHAnsi" w:eastAsia="Comic Sans MS" w:hAnsiTheme="minorHAnsi" w:cs="Comic Sans MS"/>
              </w:rPr>
              <w:t xml:space="preserve"> </w:t>
            </w:r>
            <w:r w:rsidR="00B33271" w:rsidRPr="007474D7">
              <w:rPr>
                <w:rFonts w:asciiTheme="minorHAnsi" w:eastAsia="Comic Sans MS" w:hAnsiTheme="minorHAnsi" w:cs="Comic Sans MS"/>
              </w:rPr>
              <w:t xml:space="preserve">teacher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Head 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£4000</w:t>
            </w:r>
          </w:p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215873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OTHER APPROACHES:</w:t>
            </w: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support all PP eligible families to access all curriculum and learning opportunities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PP families to access support for residential, school trips, uniform, milk and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extra curricular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Enable all families equal access to opportunities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Through finance officer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126A36" w:rsidP="007474D7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DF/ PG</w:t>
            </w:r>
            <w:r w:rsidR="007474D7"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£995</w:t>
            </w: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Total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£10495</w:t>
            </w:r>
          </w:p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AA7FF3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ALL PP </w:t>
            </w:r>
            <w:r w:rsidR="007474D7">
              <w:rPr>
                <w:rFonts w:asciiTheme="minorHAnsi" w:eastAsia="Comic Sans MS" w:hAnsiTheme="minorHAnsi" w:cs="Comic Sans MS"/>
              </w:rPr>
              <w:t xml:space="preserve">Pupil Progress: </w:t>
            </w:r>
          </w:p>
          <w:p w:rsidR="007474D7" w:rsidRDefault="00E62244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Summer 2019</w:t>
            </w:r>
            <w:r w:rsidR="007474D7">
              <w:rPr>
                <w:rFonts w:asciiTheme="minorHAnsi" w:eastAsia="Comic Sans MS" w:hAnsiTheme="minorHAnsi" w:cs="Comic Sans MS"/>
              </w:rPr>
              <w:t xml:space="preserve"> – 2020 until March 2020</w:t>
            </w:r>
          </w:p>
          <w:p w:rsidR="00E62244" w:rsidRPr="007474D7" w:rsidRDefault="00E62244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8 pupils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R</w:t>
            </w:r>
            <w:r w:rsidR="00AA7FF3" w:rsidRPr="00E62244">
              <w:rPr>
                <w:rFonts w:asciiTheme="minorHAnsi" w:eastAsia="Comic Sans MS" w:hAnsiTheme="minorHAnsi" w:cs="Comic Sans MS"/>
                <w:b/>
              </w:rPr>
              <w:t xml:space="preserve"> 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>+0.4</w:t>
            </w: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W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 xml:space="preserve">  +0.1</w:t>
            </w: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M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 xml:space="preserve">  -0.1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Pupil Progress 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2020-2021 from September 2020</w:t>
            </w:r>
            <w:r w:rsidR="004D3215">
              <w:rPr>
                <w:rFonts w:asciiTheme="minorHAnsi" w:eastAsia="Comic Sans MS" w:hAnsiTheme="minorHAnsi" w:cs="Comic Sans MS"/>
              </w:rPr>
              <w:t xml:space="preserve"> – July 2021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4D3215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4D3215">
              <w:rPr>
                <w:rFonts w:asciiTheme="minorHAnsi" w:eastAsia="Comic Sans MS" w:hAnsiTheme="minorHAnsi" w:cs="Comic Sans MS"/>
                <w:b/>
              </w:rPr>
              <w:t>R</w:t>
            </w:r>
            <w:r w:rsidR="004D3215">
              <w:rPr>
                <w:rFonts w:asciiTheme="minorHAnsi" w:eastAsia="Comic Sans MS" w:hAnsiTheme="minorHAnsi" w:cs="Comic Sans MS"/>
                <w:b/>
              </w:rPr>
              <w:t xml:space="preserve">  </w:t>
            </w:r>
          </w:p>
          <w:p w:rsidR="007474D7" w:rsidRPr="004D3215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4D3215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4D3215">
              <w:rPr>
                <w:rFonts w:asciiTheme="minorHAnsi" w:eastAsia="Comic Sans MS" w:hAnsiTheme="minorHAnsi" w:cs="Comic Sans MS"/>
                <w:b/>
              </w:rPr>
              <w:t>W</w:t>
            </w:r>
          </w:p>
          <w:p w:rsidR="007474D7" w:rsidRPr="004D3215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4D3215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4D3215">
              <w:rPr>
                <w:rFonts w:asciiTheme="minorHAnsi" w:eastAsia="Comic Sans MS" w:hAnsiTheme="minorHAnsi" w:cs="Comic Sans MS"/>
                <w:b/>
              </w:rPr>
              <w:t>M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</w:tbl>
    <w:p w:rsidR="000855CF" w:rsidRDefault="000855CF">
      <w:pPr>
        <w:spacing w:after="0"/>
        <w:ind w:left="3092"/>
      </w:pPr>
    </w:p>
    <w:sectPr w:rsidR="000855CF">
      <w:pgSz w:w="16838" w:h="11906" w:orient="landscape"/>
      <w:pgMar w:top="1445" w:right="1305" w:bottom="1488" w:left="5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CF"/>
    <w:rsid w:val="000855CF"/>
    <w:rsid w:val="00126A36"/>
    <w:rsid w:val="00157AF4"/>
    <w:rsid w:val="004D3215"/>
    <w:rsid w:val="005A409D"/>
    <w:rsid w:val="007474D7"/>
    <w:rsid w:val="00AA7FF3"/>
    <w:rsid w:val="00B078CA"/>
    <w:rsid w:val="00B33271"/>
    <w:rsid w:val="00E62244"/>
    <w:rsid w:val="00F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C064"/>
  <w15:docId w15:val="{37A28356-7092-420E-BD65-FFF356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cp:lastModifiedBy>Mrs Field</cp:lastModifiedBy>
  <cp:revision>2</cp:revision>
  <cp:lastPrinted>2021-04-26T08:12:00Z</cp:lastPrinted>
  <dcterms:created xsi:type="dcterms:W3CDTF">2021-04-26T08:25:00Z</dcterms:created>
  <dcterms:modified xsi:type="dcterms:W3CDTF">2021-04-26T08:25:00Z</dcterms:modified>
</cp:coreProperties>
</file>