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34" w:rsidRDefault="00EA1225" w:rsidP="00EA1225">
      <w:pPr>
        <w:jc w:val="center"/>
      </w:pPr>
      <w:r>
        <w:rPr>
          <w:noProof/>
          <w:lang w:eastAsia="en-GB"/>
        </w:rPr>
        <w:drawing>
          <wp:inline distT="0" distB="0" distL="0" distR="0" wp14:anchorId="46998DA6" wp14:editId="0BDBF638">
            <wp:extent cx="3199426" cy="1247775"/>
            <wp:effectExtent l="0" t="0" r="974" b="0"/>
            <wp:docPr id="1" name="Picture 1" descr="http://stgregorymarnhull.dorset.sch.uk/wp-content/themes/StGregoryTheme/img/StGregorys_School_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gregorymarnhull.dorset.sch.uk/wp-content/themes/StGregoryTheme/img/StGregorys_School_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37" cy="125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25" w:rsidRDefault="00EA1225" w:rsidP="00EA1225">
      <w:pPr>
        <w:jc w:val="center"/>
        <w:rPr>
          <w:b/>
          <w:color w:val="007635"/>
          <w:sz w:val="32"/>
          <w:szCs w:val="32"/>
        </w:rPr>
      </w:pPr>
      <w:r w:rsidRPr="00EA1225">
        <w:rPr>
          <w:b/>
          <w:color w:val="007635"/>
          <w:sz w:val="32"/>
          <w:szCs w:val="32"/>
        </w:rPr>
        <w:t>FINANCIAL INFORMATION</w:t>
      </w:r>
    </w:p>
    <w:p w:rsidR="00EA1225" w:rsidRDefault="00EA1225" w:rsidP="00EA1225">
      <w:pPr>
        <w:rPr>
          <w:color w:val="007635"/>
          <w:sz w:val="24"/>
          <w:szCs w:val="24"/>
        </w:rPr>
      </w:pPr>
      <w:r w:rsidRPr="00EA1225">
        <w:rPr>
          <w:color w:val="007635"/>
          <w:sz w:val="24"/>
          <w:szCs w:val="24"/>
        </w:rPr>
        <w:t xml:space="preserve">On 27 August 2020 </w:t>
      </w:r>
      <w:r>
        <w:rPr>
          <w:color w:val="007635"/>
          <w:sz w:val="24"/>
          <w:szCs w:val="24"/>
        </w:rPr>
        <w:t>the Department of Education updated guidelines regarding information that schools, maintained by Local Authorities must publish on their website information.</w:t>
      </w:r>
    </w:p>
    <w:p w:rsidR="00EA1225" w:rsidRPr="00EA1225" w:rsidRDefault="00EA1225" w:rsidP="00EA1225">
      <w:pPr>
        <w:rPr>
          <w:b/>
          <w:color w:val="007635"/>
          <w:sz w:val="24"/>
          <w:szCs w:val="24"/>
        </w:rPr>
      </w:pPr>
      <w:r w:rsidRPr="00EA1225">
        <w:rPr>
          <w:b/>
          <w:color w:val="007635"/>
          <w:sz w:val="24"/>
          <w:szCs w:val="24"/>
        </w:rPr>
        <w:t>School Employees’ Salary Information</w:t>
      </w:r>
    </w:p>
    <w:p w:rsidR="00EA1225" w:rsidRDefault="00EA1225" w:rsidP="00EA1225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We are required to publish how many school employees have a gross annual salary of £100,000 or more in increments of £10,000.</w:t>
      </w:r>
    </w:p>
    <w:p w:rsidR="00EA1225" w:rsidRDefault="00EA1225" w:rsidP="00EA1225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We can confirm that no school employee has a gross annual salary equal to or greater than £100,000.</w:t>
      </w:r>
    </w:p>
    <w:p w:rsidR="00EA1225" w:rsidRDefault="00EA1225" w:rsidP="00EA1225">
      <w:pPr>
        <w:rPr>
          <w:b/>
          <w:color w:val="007635"/>
          <w:sz w:val="24"/>
          <w:szCs w:val="24"/>
        </w:rPr>
      </w:pPr>
      <w:r w:rsidRPr="00EA1225">
        <w:rPr>
          <w:b/>
          <w:color w:val="007635"/>
          <w:sz w:val="24"/>
          <w:szCs w:val="24"/>
        </w:rPr>
        <w:t>School’s Financial Benchmarking</w:t>
      </w:r>
    </w:p>
    <w:p w:rsidR="003635B8" w:rsidRDefault="00EA1225" w:rsidP="003635B8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 xml:space="preserve">We are required to publish specific financial benchmarking for the school. If you click on the link below you can view St Gregory’s financial data and see how </w:t>
      </w:r>
      <w:r w:rsidR="003635B8">
        <w:rPr>
          <w:color w:val="007635"/>
          <w:sz w:val="24"/>
          <w:szCs w:val="24"/>
        </w:rPr>
        <w:t>it compares with other schools:</w:t>
      </w:r>
    </w:p>
    <w:p w:rsidR="00EA1225" w:rsidRDefault="00EA1225" w:rsidP="003635B8">
      <w:pPr>
        <w:jc w:val="center"/>
        <w:rPr>
          <w:color w:val="007635"/>
          <w:sz w:val="24"/>
          <w:szCs w:val="24"/>
        </w:rPr>
      </w:pPr>
      <w:hyperlink r:id="rId7" w:history="1">
        <w:r w:rsidRPr="00995499">
          <w:rPr>
            <w:rStyle w:val="Hyperlink"/>
            <w:sz w:val="24"/>
            <w:szCs w:val="24"/>
          </w:rPr>
          <w:t>https://schools-financial-benchmarking.service.gov.uk</w:t>
        </w:r>
      </w:hyperlink>
    </w:p>
    <w:p w:rsidR="003635B8" w:rsidRDefault="003635B8" w:rsidP="003635B8">
      <w:pPr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Expenditure charts included are as follows:</w:t>
      </w:r>
    </w:p>
    <w:p w:rsidR="003635B8" w:rsidRDefault="003635B8" w:rsidP="003635B8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STAFF COSTS</w:t>
      </w:r>
    </w:p>
    <w:p w:rsidR="003635B8" w:rsidRDefault="003635B8" w:rsidP="003635B8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PREMISES COSTS</w:t>
      </w:r>
    </w:p>
    <w:p w:rsidR="003635B8" w:rsidRDefault="003635B8" w:rsidP="003635B8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OCCUPATION COSTS</w:t>
      </w:r>
    </w:p>
    <w:p w:rsidR="003635B8" w:rsidRDefault="003635B8" w:rsidP="003635B8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SUPPLIES AND SERVICES</w:t>
      </w:r>
    </w:p>
    <w:p w:rsidR="003635B8" w:rsidRDefault="003635B8" w:rsidP="003635B8">
      <w:pPr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Interpreting Income Charts</w:t>
      </w:r>
    </w:p>
    <w:p w:rsidR="003635B8" w:rsidRDefault="003635B8" w:rsidP="003635B8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Here you can see how funding compares with similar schools. Funding levels are determined by a combination of central allocations to each Local Authority (LA) and the LA funding formula. The LA funding formula is set in consultation with schools forums.</w:t>
      </w:r>
    </w:p>
    <w:p w:rsidR="003635B8" w:rsidRDefault="003635B8" w:rsidP="003635B8">
      <w:pPr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Interpreting Workforce Charts</w:t>
      </w:r>
    </w:p>
    <w:p w:rsidR="003635B8" w:rsidRDefault="003635B8" w:rsidP="003635B8">
      <w:pPr>
        <w:rPr>
          <w:color w:val="007635"/>
          <w:sz w:val="24"/>
          <w:szCs w:val="24"/>
        </w:rPr>
      </w:pPr>
      <w:r>
        <w:rPr>
          <w:color w:val="007635"/>
          <w:sz w:val="24"/>
          <w:szCs w:val="24"/>
        </w:rPr>
        <w:t>Here you can see how the workforce compares with similar schools. The workforce data is taken from each schools’ submitted census.</w:t>
      </w:r>
    </w:p>
    <w:p w:rsidR="003635B8" w:rsidRDefault="003635B8" w:rsidP="003635B8">
      <w:pPr>
        <w:rPr>
          <w:color w:val="007635"/>
          <w:sz w:val="24"/>
          <w:szCs w:val="24"/>
        </w:rPr>
      </w:pPr>
    </w:p>
    <w:p w:rsidR="003635B8" w:rsidRDefault="003635B8" w:rsidP="003635B8">
      <w:pPr>
        <w:rPr>
          <w:color w:val="007635"/>
          <w:sz w:val="24"/>
          <w:szCs w:val="24"/>
        </w:rPr>
      </w:pPr>
    </w:p>
    <w:p w:rsidR="003635B8" w:rsidRDefault="003635B8" w:rsidP="003635B8">
      <w:pPr>
        <w:rPr>
          <w:color w:val="007635"/>
          <w:sz w:val="24"/>
          <w:szCs w:val="24"/>
        </w:rPr>
      </w:pPr>
    </w:p>
    <w:p w:rsidR="003635B8" w:rsidRPr="003635B8" w:rsidRDefault="003635B8" w:rsidP="003635B8">
      <w:pPr>
        <w:rPr>
          <w:color w:val="007635"/>
          <w:sz w:val="24"/>
          <w:szCs w:val="24"/>
        </w:rPr>
      </w:pPr>
      <w:bookmarkStart w:id="0" w:name="_GoBack"/>
      <w:bookmarkEnd w:id="0"/>
    </w:p>
    <w:p w:rsidR="003635B8" w:rsidRDefault="003635B8" w:rsidP="003635B8">
      <w:pPr>
        <w:rPr>
          <w:color w:val="007635"/>
          <w:sz w:val="24"/>
          <w:szCs w:val="24"/>
        </w:rPr>
      </w:pPr>
    </w:p>
    <w:p w:rsidR="003635B8" w:rsidRPr="003635B8" w:rsidRDefault="003635B8" w:rsidP="003635B8">
      <w:pPr>
        <w:rPr>
          <w:color w:val="007635"/>
          <w:sz w:val="24"/>
          <w:szCs w:val="24"/>
        </w:rPr>
      </w:pPr>
    </w:p>
    <w:p w:rsidR="003635B8" w:rsidRPr="003635B8" w:rsidRDefault="003635B8" w:rsidP="003635B8">
      <w:pPr>
        <w:rPr>
          <w:b/>
          <w:color w:val="007635"/>
          <w:sz w:val="24"/>
          <w:szCs w:val="24"/>
        </w:rPr>
      </w:pPr>
    </w:p>
    <w:p w:rsidR="003635B8" w:rsidRDefault="003635B8" w:rsidP="00EA1225">
      <w:pPr>
        <w:jc w:val="center"/>
        <w:rPr>
          <w:color w:val="007635"/>
          <w:sz w:val="24"/>
          <w:szCs w:val="24"/>
        </w:rPr>
      </w:pPr>
    </w:p>
    <w:p w:rsidR="00EA1225" w:rsidRPr="00EA1225" w:rsidRDefault="00EA1225" w:rsidP="00EA1225">
      <w:pPr>
        <w:jc w:val="center"/>
        <w:rPr>
          <w:color w:val="007635"/>
          <w:sz w:val="24"/>
          <w:szCs w:val="24"/>
        </w:rPr>
      </w:pPr>
    </w:p>
    <w:p w:rsidR="00EA1225" w:rsidRPr="00EA1225" w:rsidRDefault="00EA1225" w:rsidP="00EA1225">
      <w:pPr>
        <w:rPr>
          <w:color w:val="007635"/>
          <w:sz w:val="24"/>
          <w:szCs w:val="24"/>
        </w:rPr>
      </w:pPr>
    </w:p>
    <w:sectPr w:rsidR="00EA1225" w:rsidRPr="00EA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5"/>
    <w:rsid w:val="003635B8"/>
    <w:rsid w:val="0089273B"/>
    <w:rsid w:val="00B31A17"/>
    <w:rsid w:val="00E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9D32"/>
  <w15:chartTrackingRefBased/>
  <w15:docId w15:val="{3CDE4247-87D4-44C0-87FA-915BC548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-financial-benchmarking.servic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stgregorymarnhull.dorset.sch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B690-DC0F-4B57-9A96-1AD6399A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Guy</dc:creator>
  <cp:keywords/>
  <dc:description/>
  <cp:lastModifiedBy>Pauline Guy</cp:lastModifiedBy>
  <cp:revision>1</cp:revision>
  <dcterms:created xsi:type="dcterms:W3CDTF">2020-12-01T10:04:00Z</dcterms:created>
  <dcterms:modified xsi:type="dcterms:W3CDTF">2020-12-01T10:25:00Z</dcterms:modified>
</cp:coreProperties>
</file>