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7B" w:rsidRPr="00262114" w:rsidRDefault="00DD217B" w:rsidP="00A33F73">
      <w:pPr>
        <w:spacing w:after="240"/>
        <w:rPr>
          <w:rFonts w:ascii="Arial" w:hAnsi="Arial" w:cs="Arial"/>
          <w:b/>
          <w:bCs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bCs/>
          <w:noProof/>
          <w:color w:val="104F75"/>
          <w:sz w:val="36"/>
          <w:szCs w:val="36"/>
          <w:lang w:eastAsia="en-GB"/>
        </w:rPr>
        <w:t xml:space="preserve">Pupil premium strategy statement </w:t>
      </w:r>
      <w:r>
        <w:rPr>
          <w:rFonts w:ascii="Arial" w:hAnsi="Arial" w:cs="Arial"/>
          <w:b/>
          <w:bCs/>
          <w:noProof/>
          <w:color w:val="104F75"/>
          <w:sz w:val="36"/>
          <w:szCs w:val="36"/>
          <w:lang w:eastAsia="en-GB"/>
        </w:rPr>
        <w:t xml:space="preserve">- </w:t>
      </w:r>
      <w:bookmarkStart w:id="0" w:name="_GoBack"/>
      <w:bookmarkEnd w:id="0"/>
      <w:r>
        <w:rPr>
          <w:rFonts w:ascii="Arial" w:hAnsi="Arial" w:cs="Arial"/>
          <w:b/>
          <w:bCs/>
          <w:noProof/>
          <w:color w:val="104F75"/>
          <w:sz w:val="36"/>
          <w:szCs w:val="36"/>
          <w:lang w:eastAsia="en-GB"/>
        </w:rPr>
        <w:t xml:space="preserve">St. Gregory’s, Marnhull </w:t>
      </w:r>
      <w:r w:rsidRPr="004029AD">
        <w:rPr>
          <w:rFonts w:ascii="Arial" w:hAnsi="Arial" w:cs="Arial"/>
          <w:b/>
          <w:bCs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76"/>
        <w:gridCol w:w="3632"/>
        <w:gridCol w:w="1471"/>
        <w:gridCol w:w="4819"/>
        <w:gridCol w:w="1559"/>
      </w:tblGrid>
      <w:tr w:rsidR="00DD217B" w:rsidRPr="005C782A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Summary information</w:t>
            </w:r>
          </w:p>
        </w:tc>
      </w:tr>
      <w:tr w:rsidR="00DD217B" w:rsidRPr="005C782A">
        <w:tc>
          <w:tcPr>
            <w:tcW w:w="2660" w:type="dxa"/>
            <w:tcMar>
              <w:top w:w="57" w:type="dxa"/>
              <w:bottom w:w="57" w:type="dxa"/>
            </w:tcMar>
          </w:tcPr>
          <w:p w:rsidR="00DD217B" w:rsidRPr="005C782A" w:rsidRDefault="00DD217B" w:rsidP="00BF781A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DD217B" w:rsidRPr="005C782A" w:rsidRDefault="00DD217B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</w:rPr>
              <w:t xml:space="preserve">St. Gregory’s </w:t>
            </w:r>
            <w:r>
              <w:rPr>
                <w:rFonts w:ascii="Arial" w:hAnsi="Arial" w:cs="Arial"/>
              </w:rPr>
              <w:t xml:space="preserve">C of E </w:t>
            </w:r>
            <w:r w:rsidRPr="005C782A">
              <w:rPr>
                <w:rFonts w:ascii="Arial" w:hAnsi="Arial" w:cs="Arial"/>
              </w:rPr>
              <w:t>Primary, Marnhull</w:t>
            </w:r>
          </w:p>
        </w:tc>
      </w:tr>
      <w:tr w:rsidR="00DD217B" w:rsidRPr="005C782A">
        <w:tc>
          <w:tcPr>
            <w:tcW w:w="2660" w:type="dxa"/>
            <w:tcMar>
              <w:top w:w="57" w:type="dxa"/>
              <w:bottom w:w="57" w:type="dxa"/>
            </w:tcMar>
          </w:tcPr>
          <w:p w:rsidR="00DD217B" w:rsidRPr="005C782A" w:rsidRDefault="00DD217B" w:rsidP="00BF781A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D217B" w:rsidRPr="005C782A" w:rsidRDefault="00DD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3632" w:type="dxa"/>
          </w:tcPr>
          <w:p w:rsidR="00DD217B" w:rsidRPr="005C782A" w:rsidRDefault="00DD217B" w:rsidP="00DC0E87">
            <w:pPr>
              <w:rPr>
                <w:rFonts w:ascii="Arial" w:hAnsi="Arial" w:cs="Arial"/>
                <w:highlight w:val="yellow"/>
              </w:rPr>
            </w:pPr>
            <w:r w:rsidRPr="005C782A">
              <w:rPr>
                <w:rFonts w:ascii="Arial" w:hAnsi="Arial" w:cs="Arial"/>
                <w:b/>
                <w:bCs/>
              </w:rPr>
              <w:t>Total PP budget</w:t>
            </w:r>
          </w:p>
        </w:tc>
        <w:tc>
          <w:tcPr>
            <w:tcW w:w="1471" w:type="dxa"/>
          </w:tcPr>
          <w:p w:rsidR="00DD217B" w:rsidRPr="005C782A" w:rsidRDefault="00DD217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£16,140</w:t>
            </w:r>
          </w:p>
        </w:tc>
        <w:tc>
          <w:tcPr>
            <w:tcW w:w="4819" w:type="dxa"/>
          </w:tcPr>
          <w:p w:rsidR="00DD217B" w:rsidRPr="005C782A" w:rsidRDefault="00DD217B" w:rsidP="00DC0E87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>Date of most recent PP Review</w:t>
            </w:r>
          </w:p>
        </w:tc>
        <w:tc>
          <w:tcPr>
            <w:tcW w:w="1559" w:type="dxa"/>
          </w:tcPr>
          <w:p w:rsidR="00DD217B" w:rsidRPr="005C782A" w:rsidRDefault="00DD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2017</w:t>
            </w:r>
          </w:p>
        </w:tc>
      </w:tr>
      <w:tr w:rsidR="00DD217B" w:rsidRPr="005C782A">
        <w:tc>
          <w:tcPr>
            <w:tcW w:w="2660" w:type="dxa"/>
            <w:tcMar>
              <w:top w:w="57" w:type="dxa"/>
              <w:bottom w:w="57" w:type="dxa"/>
            </w:tcMar>
          </w:tcPr>
          <w:p w:rsidR="00DD217B" w:rsidRPr="005C782A" w:rsidRDefault="00DD217B" w:rsidP="00DC0E87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DD217B" w:rsidRPr="005C782A" w:rsidRDefault="00DD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3632" w:type="dxa"/>
          </w:tcPr>
          <w:p w:rsidR="00DD217B" w:rsidRPr="005C782A" w:rsidRDefault="00DD217B" w:rsidP="00C14FAE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>Number of pupils eligible for PP</w:t>
            </w:r>
          </w:p>
        </w:tc>
        <w:tc>
          <w:tcPr>
            <w:tcW w:w="1471" w:type="dxa"/>
          </w:tcPr>
          <w:p w:rsidR="00DD217B" w:rsidRPr="005C782A" w:rsidRDefault="00DD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19" w:type="dxa"/>
          </w:tcPr>
          <w:p w:rsidR="00DD217B" w:rsidRPr="005C782A" w:rsidRDefault="00DD217B" w:rsidP="00C14FAE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>Date for next internal review of this strategy</w:t>
            </w:r>
          </w:p>
        </w:tc>
        <w:tc>
          <w:tcPr>
            <w:tcW w:w="1559" w:type="dxa"/>
          </w:tcPr>
          <w:p w:rsidR="00DD217B" w:rsidRPr="005C782A" w:rsidRDefault="00DD21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2017</w:t>
            </w:r>
          </w:p>
        </w:tc>
      </w:tr>
    </w:tbl>
    <w:p w:rsidR="00DD217B" w:rsidRPr="00A33F73" w:rsidRDefault="00DD217B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2977"/>
        <w:gridCol w:w="4394"/>
      </w:tblGrid>
      <w:tr w:rsidR="00DD217B" w:rsidRPr="005C782A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Current attainment </w:t>
            </w:r>
          </w:p>
        </w:tc>
      </w:tr>
      <w:tr w:rsidR="00DD217B" w:rsidRPr="005C782A">
        <w:tc>
          <w:tcPr>
            <w:tcW w:w="8046" w:type="dxa"/>
            <w:tcMar>
              <w:top w:w="57" w:type="dxa"/>
              <w:bottom w:w="57" w:type="dxa"/>
            </w:tcMar>
          </w:tcPr>
          <w:p w:rsidR="00DD217B" w:rsidRPr="005C782A" w:rsidRDefault="00DD217B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D217B" w:rsidRPr="005C782A" w:rsidRDefault="00DD217B" w:rsidP="005C78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82A">
              <w:rPr>
                <w:rFonts w:ascii="Arial" w:hAnsi="Arial" w:cs="Arial"/>
                <w:i/>
                <w:iCs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D217B" w:rsidRPr="005C782A" w:rsidRDefault="00DD217B" w:rsidP="005C78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C782A">
              <w:rPr>
                <w:rFonts w:ascii="Arial" w:hAnsi="Arial" w:cs="Arial"/>
                <w:i/>
                <w:iCs/>
                <w:sz w:val="18"/>
                <w:szCs w:val="18"/>
              </w:rPr>
              <w:t>Pupil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 not eligible for PP ( school</w:t>
            </w:r>
            <w:r w:rsidRPr="005C782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DD217B" w:rsidRPr="005C782A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DD217B" w:rsidRPr="005C782A" w:rsidRDefault="00DD217B" w:rsidP="005C782A">
            <w:pPr>
              <w:spacing w:line="276" w:lineRule="auto"/>
              <w:ind w:right="-23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% achieving in reading, writing and maths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DD217B" w:rsidRPr="005C782A" w:rsidRDefault="00DD217B" w:rsidP="005C782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53.3%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54.7</w:t>
            </w:r>
            <w:r w:rsidRPr="005C782A">
              <w:rPr>
                <w:rFonts w:ascii="Arial" w:hAnsi="Arial" w:cs="Arial"/>
              </w:rPr>
              <w:t>%</w:t>
            </w:r>
          </w:p>
        </w:tc>
      </w:tr>
      <w:tr w:rsidR="00DD217B" w:rsidRPr="005C782A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DD217B" w:rsidRPr="005C782A" w:rsidRDefault="00DD217B" w:rsidP="005C782A">
            <w:pPr>
              <w:spacing w:line="276" w:lineRule="auto"/>
              <w:ind w:right="-23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DD217B" w:rsidRPr="005C782A" w:rsidRDefault="00DD217B" w:rsidP="005C782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</w:t>
            </w:r>
            <w:r w:rsidRPr="005C782A">
              <w:rPr>
                <w:rFonts w:ascii="Arial" w:hAnsi="Arial" w:cs="Arial"/>
              </w:rPr>
              <w:t>%</w:t>
            </w:r>
          </w:p>
        </w:tc>
      </w:tr>
      <w:tr w:rsidR="00DD217B" w:rsidRPr="005C782A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DD217B" w:rsidRPr="005C782A" w:rsidRDefault="00DD217B" w:rsidP="005C782A">
            <w:pPr>
              <w:spacing w:line="276" w:lineRule="auto"/>
              <w:ind w:right="-23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DD217B" w:rsidRPr="005C782A" w:rsidRDefault="00DD217B" w:rsidP="005C782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62.8</w:t>
            </w:r>
            <w:r w:rsidRPr="005C782A">
              <w:rPr>
                <w:rFonts w:ascii="Arial" w:hAnsi="Arial" w:cs="Arial"/>
              </w:rPr>
              <w:t>%</w:t>
            </w:r>
          </w:p>
        </w:tc>
      </w:tr>
      <w:tr w:rsidR="00DD217B" w:rsidRPr="005C782A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DD217B" w:rsidRPr="005C782A" w:rsidRDefault="00DD217B" w:rsidP="005C782A">
            <w:pPr>
              <w:spacing w:line="276" w:lineRule="auto"/>
              <w:ind w:right="-23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DD217B" w:rsidRPr="005C782A" w:rsidRDefault="00DD217B" w:rsidP="005C782A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73.3%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72.7</w:t>
            </w:r>
            <w:r w:rsidRPr="005C782A">
              <w:rPr>
                <w:rFonts w:ascii="Arial" w:hAnsi="Arial" w:cs="Arial"/>
              </w:rPr>
              <w:t>%</w:t>
            </w:r>
          </w:p>
        </w:tc>
      </w:tr>
    </w:tbl>
    <w:p w:rsidR="00DD217B" w:rsidRPr="00A33F73" w:rsidRDefault="00DD217B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"/>
        <w:gridCol w:w="8460"/>
        <w:gridCol w:w="6030"/>
        <w:gridCol w:w="65"/>
      </w:tblGrid>
      <w:tr w:rsidR="00DD217B" w:rsidRPr="005C782A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Barriers to future attainment (for pupils eligible for PP, including high ability)</w:t>
            </w:r>
          </w:p>
        </w:tc>
      </w:tr>
      <w:tr w:rsidR="00DD217B" w:rsidRPr="005C782A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C068B2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 In-school barriers </w:t>
            </w:r>
            <w:r w:rsidRPr="005C782A">
              <w:rPr>
                <w:rFonts w:ascii="Arial" w:hAnsi="Arial" w:cs="Arial"/>
                <w:i/>
                <w:iCs/>
              </w:rPr>
              <w:t>(issues to be addressed in school, such as poor oral language skills)</w:t>
            </w:r>
          </w:p>
        </w:tc>
      </w:tr>
      <w:tr w:rsidR="00DD217B" w:rsidRPr="005C782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5" w:type="dxa"/>
            <w:gridSpan w:val="3"/>
          </w:tcPr>
          <w:p w:rsidR="00DD217B" w:rsidRPr="00C87E7E" w:rsidRDefault="00DD217B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  <w:r w:rsidRPr="00C87E7E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>
              <w:rPr>
                <w:rFonts w:ascii="Arial" w:hAnsi="Arial" w:cs="Arial"/>
                <w:sz w:val="18"/>
                <w:szCs w:val="18"/>
              </w:rPr>
              <w:t xml:space="preserve">PP pupils are also SEN pupils. </w:t>
            </w:r>
            <w:r w:rsidRPr="00C87E7E">
              <w:rPr>
                <w:rFonts w:ascii="Arial" w:hAnsi="Arial" w:cs="Arial"/>
                <w:sz w:val="18"/>
                <w:szCs w:val="18"/>
              </w:rPr>
              <w:t>This means that they need additional support in order to make ARE</w:t>
            </w:r>
          </w:p>
        </w:tc>
      </w:tr>
      <w:tr w:rsidR="00DD217B" w:rsidRPr="005C782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55" w:type="dxa"/>
            <w:gridSpan w:val="3"/>
          </w:tcPr>
          <w:p w:rsidR="00DD217B" w:rsidRPr="00C87E7E" w:rsidRDefault="00DD217B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year KS2 levels were low and this is an area of focus for the school.</w:t>
            </w:r>
          </w:p>
        </w:tc>
      </w:tr>
      <w:tr w:rsidR="00DD217B" w:rsidRPr="005C782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14555" w:type="dxa"/>
            <w:gridSpan w:val="3"/>
          </w:tcPr>
          <w:p w:rsidR="00DD217B" w:rsidRPr="00C87E7E" w:rsidRDefault="00DD217B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Assessment results were inaccurate prior to February 2017 </w:t>
            </w:r>
          </w:p>
        </w:tc>
      </w:tr>
      <w:tr w:rsidR="00DD217B" w:rsidRPr="005C782A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C068B2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External barriers </w:t>
            </w:r>
            <w:r w:rsidRPr="005C782A">
              <w:rPr>
                <w:rFonts w:ascii="Arial" w:hAnsi="Arial" w:cs="Arial"/>
                <w:i/>
                <w:iCs/>
              </w:rPr>
              <w:t>(issues which also require action outside school, such as low attendance rates)</w:t>
            </w:r>
          </w:p>
        </w:tc>
      </w:tr>
      <w:tr w:rsidR="00DD217B" w:rsidRPr="005C782A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D. </w:t>
            </w:r>
          </w:p>
        </w:tc>
        <w:tc>
          <w:tcPr>
            <w:tcW w:w="14555" w:type="dxa"/>
            <w:gridSpan w:val="3"/>
          </w:tcPr>
          <w:p w:rsidR="00DD217B" w:rsidRPr="00C87E7E" w:rsidRDefault="00DD217B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 xml:space="preserve">Attendance rates for </w:t>
            </w:r>
            <w:r>
              <w:rPr>
                <w:rFonts w:ascii="Arial" w:hAnsi="Arial" w:cs="Arial"/>
                <w:sz w:val="18"/>
                <w:szCs w:val="18"/>
              </w:rPr>
              <w:t>pupils eligible for pp are 94.1%</w:t>
            </w:r>
            <w:r w:rsidRPr="00C87E7E">
              <w:rPr>
                <w:rFonts w:ascii="Arial" w:hAnsi="Arial" w:cs="Arial"/>
                <w:sz w:val="18"/>
                <w:szCs w:val="18"/>
              </w:rPr>
              <w:t xml:space="preserve"> (below the school average of </w:t>
            </w:r>
            <w:r>
              <w:rPr>
                <w:rFonts w:ascii="Arial" w:hAnsi="Arial" w:cs="Arial"/>
                <w:sz w:val="18"/>
                <w:szCs w:val="18"/>
              </w:rPr>
              <w:t>97.1%)</w:t>
            </w:r>
          </w:p>
        </w:tc>
      </w:tr>
      <w:tr w:rsidR="00DD217B" w:rsidRPr="005C782A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Desired outcomes </w:t>
            </w:r>
          </w:p>
        </w:tc>
      </w:tr>
      <w:tr w:rsidR="00DD217B" w:rsidRPr="005C782A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DD217B" w:rsidRPr="005C782A" w:rsidRDefault="00DD217B" w:rsidP="00683A3C">
            <w:pPr>
              <w:rPr>
                <w:rFonts w:ascii="Arial" w:hAnsi="Arial" w:cs="Arial"/>
                <w:i/>
                <w:iCs/>
              </w:rPr>
            </w:pPr>
            <w:r w:rsidRPr="005C782A">
              <w:rPr>
                <w:rFonts w:ascii="Arial" w:hAnsi="Arial" w:cs="Arial"/>
                <w:i/>
                <w:iCs/>
              </w:rPr>
              <w:t>Desired outcomes and how they will be measured</w:t>
            </w:r>
          </w:p>
        </w:tc>
        <w:tc>
          <w:tcPr>
            <w:tcW w:w="6030" w:type="dxa"/>
          </w:tcPr>
          <w:p w:rsidR="00DD217B" w:rsidRPr="005C782A" w:rsidRDefault="00DD217B" w:rsidP="00C14FAE">
            <w:pPr>
              <w:rPr>
                <w:rFonts w:ascii="Arial" w:hAnsi="Arial" w:cs="Arial"/>
                <w:i/>
                <w:iCs/>
              </w:rPr>
            </w:pPr>
            <w:r w:rsidRPr="005C782A">
              <w:rPr>
                <w:rFonts w:ascii="Arial" w:hAnsi="Arial" w:cs="Arial"/>
                <w:i/>
                <w:iCs/>
              </w:rPr>
              <w:t xml:space="preserve">Success criteria </w:t>
            </w:r>
          </w:p>
        </w:tc>
      </w:tr>
      <w:tr w:rsidR="00DD217B" w:rsidRPr="005C782A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DD217B" w:rsidRPr="00C87E7E" w:rsidRDefault="00DD217B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Focus on high quality teaching for all pupils with targeted additional interventions for PP pupils</w:t>
            </w:r>
          </w:p>
        </w:tc>
        <w:tc>
          <w:tcPr>
            <w:tcW w:w="6030" w:type="dxa"/>
          </w:tcPr>
          <w:p w:rsidR="00DD217B" w:rsidRPr="00C87E7E" w:rsidRDefault="00DD217B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For children to reach ARE by the end of the academic year.</w:t>
            </w:r>
          </w:p>
        </w:tc>
      </w:tr>
      <w:tr w:rsidR="00DD217B" w:rsidRPr="005C782A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DD217B" w:rsidRPr="00C87E7E" w:rsidRDefault="00DD217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To engage pupils in small group sessions in order to increase their self-esteem and resilience</w:t>
            </w:r>
          </w:p>
        </w:tc>
        <w:tc>
          <w:tcPr>
            <w:tcW w:w="6030" w:type="dxa"/>
          </w:tcPr>
          <w:p w:rsidR="00DD217B" w:rsidRPr="00C87E7E" w:rsidRDefault="00DD217B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Improved self-esteem and resilience.  To make more than expected progress from their starting points at the beginning of the year.</w:t>
            </w:r>
          </w:p>
        </w:tc>
      </w:tr>
      <w:tr w:rsidR="00DD217B" w:rsidRPr="005C782A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DD217B" w:rsidRPr="00C87E7E" w:rsidRDefault="00DD217B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Increased attendance rates for pupils eligible for PP</w:t>
            </w:r>
          </w:p>
        </w:tc>
        <w:tc>
          <w:tcPr>
            <w:tcW w:w="6030" w:type="dxa"/>
          </w:tcPr>
          <w:p w:rsidR="00DD217B" w:rsidRPr="00C87E7E" w:rsidRDefault="00DD217B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To bring attendance of all PP pupils back into line wi</w:t>
            </w:r>
            <w:r>
              <w:rPr>
                <w:rFonts w:ascii="Arial" w:hAnsi="Arial" w:cs="Arial"/>
                <w:sz w:val="18"/>
                <w:szCs w:val="18"/>
              </w:rPr>
              <w:t>th whole school attendance of 97.1</w:t>
            </w:r>
            <w:r w:rsidRPr="00C87E7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D217B" w:rsidRPr="005C782A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DD217B" w:rsidRPr="005C782A" w:rsidRDefault="00DD217B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ensure all disadvantaged children make at least expected progress and progress at least as well as non-disadvantaged children across the school </w:t>
            </w:r>
          </w:p>
        </w:tc>
        <w:tc>
          <w:tcPr>
            <w:tcW w:w="6030" w:type="dxa"/>
          </w:tcPr>
          <w:p w:rsidR="00DD217B" w:rsidRPr="005C782A" w:rsidRDefault="00DD217B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progress is one point + at least in line with non-PP</w:t>
            </w:r>
          </w:p>
        </w:tc>
      </w:tr>
    </w:tbl>
    <w:p w:rsidR="00DD217B" w:rsidRPr="002954A6" w:rsidRDefault="00DD217B">
      <w:r w:rsidRPr="002954A6">
        <w:br w:type="page"/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3828"/>
        <w:gridCol w:w="3260"/>
        <w:gridCol w:w="1276"/>
        <w:gridCol w:w="1984"/>
      </w:tblGrid>
      <w:tr w:rsidR="00DD217B" w:rsidRPr="005C782A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Planned expenditure </w:t>
            </w:r>
          </w:p>
        </w:tc>
      </w:tr>
      <w:tr w:rsidR="00DD217B" w:rsidRPr="005C782A"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Academic year</w:t>
            </w:r>
          </w:p>
        </w:tc>
        <w:tc>
          <w:tcPr>
            <w:tcW w:w="12757" w:type="dxa"/>
            <w:gridSpan w:val="5"/>
          </w:tcPr>
          <w:p w:rsidR="00DD217B" w:rsidRPr="005C782A" w:rsidRDefault="00DD217B" w:rsidP="005C782A">
            <w:pPr>
              <w:pStyle w:val="ListParagraph"/>
              <w:ind w:left="426"/>
              <w:rPr>
                <w:rFonts w:ascii="Arial" w:hAnsi="Arial" w:cs="Arial"/>
                <w:b/>
                <w:bCs/>
              </w:rPr>
            </w:pPr>
          </w:p>
        </w:tc>
      </w:tr>
      <w:tr w:rsidR="00DD217B" w:rsidRPr="005C782A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267F85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DD217B" w:rsidRPr="005C782A">
        <w:tc>
          <w:tcPr>
            <w:tcW w:w="14992" w:type="dxa"/>
            <w:gridSpan w:val="6"/>
            <w:shd w:val="clear" w:color="auto" w:fill="FFFFFF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Quality of teaching for all</w:t>
            </w:r>
          </w:p>
        </w:tc>
      </w:tr>
      <w:tr w:rsidR="00DD217B" w:rsidRPr="005C782A">
        <w:trPr>
          <w:trHeight w:val="96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5C782A" w:rsidRDefault="00DD217B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5C782A" w:rsidRDefault="00DD217B" w:rsidP="006F0B6A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Chosen action / 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5C782A" w:rsidRDefault="00DD217B" w:rsidP="000A25FC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5C782A" w:rsidRDefault="00DD217B" w:rsidP="00B01C9A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How will you ensure it is implemented well?</w:t>
            </w:r>
          </w:p>
        </w:tc>
        <w:tc>
          <w:tcPr>
            <w:tcW w:w="1276" w:type="dxa"/>
          </w:tcPr>
          <w:p w:rsidR="00DD217B" w:rsidRPr="005C782A" w:rsidRDefault="00DD217B" w:rsidP="00B01C9A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Staff lead</w:t>
            </w:r>
          </w:p>
        </w:tc>
        <w:tc>
          <w:tcPr>
            <w:tcW w:w="1984" w:type="dxa"/>
          </w:tcPr>
          <w:p w:rsidR="00DD217B" w:rsidRPr="005C782A" w:rsidRDefault="00DD217B" w:rsidP="00240F98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When will you review implementation?</w:t>
            </w:r>
          </w:p>
        </w:tc>
      </w:tr>
      <w:tr w:rsidR="00DD217B" w:rsidRPr="005C782A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C87E7E" w:rsidRDefault="00DD217B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 increase the outstanding teaching provision across the school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Default="00DD217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INSET for 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in-school training.</w:t>
            </w:r>
          </w:p>
          <w:p w:rsidR="00DD217B" w:rsidRPr="00C87E7E" w:rsidRDefault="00DD217B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 visits to other settings and working with cluster schools.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C87E7E" w:rsidRDefault="00DD217B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that coaching is a highly effective approach to developing  practice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C87E7E" w:rsidRDefault="00DD217B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 learning walks, lesson observations and work scrutinies</w:t>
            </w:r>
          </w:p>
        </w:tc>
        <w:tc>
          <w:tcPr>
            <w:tcW w:w="1276" w:type="dxa"/>
          </w:tcPr>
          <w:p w:rsidR="00DD217B" w:rsidRPr="009A036E" w:rsidRDefault="00DD217B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Head and Deputy</w:t>
            </w:r>
          </w:p>
        </w:tc>
        <w:tc>
          <w:tcPr>
            <w:tcW w:w="1984" w:type="dxa"/>
          </w:tcPr>
          <w:p w:rsidR="00DD217B" w:rsidRPr="009A036E" w:rsidRDefault="00DD217B" w:rsidP="00A24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2018</w:t>
            </w:r>
          </w:p>
        </w:tc>
      </w:tr>
      <w:tr w:rsidR="00DD217B" w:rsidRPr="005C782A">
        <w:trPr>
          <w:trHeight w:hRule="exact" w:val="118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C87E7E" w:rsidRDefault="00DD217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To ensure Quality First Marking, feedback and responses from pupils.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C87E7E" w:rsidRDefault="00DD217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Staff training and research on quality feedback and response marking.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C87E7E" w:rsidRDefault="00DD217B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Research indicates that high quality, individualised feedback is a highly effective way to move children on in their learning.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C87E7E" w:rsidRDefault="00DD217B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Use staff meetings to deliver changes to marking policy. Peer observations to embed learning and share good practice.</w:t>
            </w:r>
          </w:p>
        </w:tc>
        <w:tc>
          <w:tcPr>
            <w:tcW w:w="1276" w:type="dxa"/>
          </w:tcPr>
          <w:p w:rsidR="00DD217B" w:rsidRPr="005C782A" w:rsidRDefault="00DD217B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Head and Deputy</w:t>
            </w:r>
          </w:p>
        </w:tc>
        <w:tc>
          <w:tcPr>
            <w:tcW w:w="1984" w:type="dxa"/>
          </w:tcPr>
          <w:p w:rsidR="00DD217B" w:rsidRPr="005C782A" w:rsidRDefault="00DD217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2018</w:t>
            </w:r>
          </w:p>
        </w:tc>
      </w:tr>
      <w:tr w:rsidR="00DD217B" w:rsidRPr="005C782A">
        <w:trPr>
          <w:trHeight w:hRule="exact" w:val="15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C87E7E" w:rsidRDefault="00DD2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differentiation during and between lessons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C87E7E" w:rsidRDefault="00DD217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INSET for 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in-school training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C87E7E" w:rsidRDefault="00DD217B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In order to promote an ethos of attainment for all pupils and to ensure that ALL pupils including those disadvantaged pupils have the potential to succeed</w:t>
            </w:r>
            <w:r>
              <w:rPr>
                <w:rFonts w:ascii="Arial" w:hAnsi="Arial" w:cs="Arial"/>
                <w:sz w:val="18"/>
                <w:szCs w:val="18"/>
              </w:rPr>
              <w:t>. Each child should be given the opportunity to access learning and make at least expected progress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Default="00DD217B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 xml:space="preserve">INSET days to deliver training. Lead staff to deliver sessions during staff meetings. </w:t>
            </w:r>
          </w:p>
          <w:p w:rsidR="00DD217B" w:rsidRPr="00C87E7E" w:rsidRDefault="00DD217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 learning walks, lesson observations and work scrutinies</w:t>
            </w:r>
          </w:p>
        </w:tc>
        <w:tc>
          <w:tcPr>
            <w:tcW w:w="1276" w:type="dxa"/>
          </w:tcPr>
          <w:p w:rsidR="00DD217B" w:rsidRPr="009A036E" w:rsidRDefault="00DD2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and Deputy</w:t>
            </w:r>
          </w:p>
        </w:tc>
        <w:tc>
          <w:tcPr>
            <w:tcW w:w="1984" w:type="dxa"/>
          </w:tcPr>
          <w:p w:rsidR="00DD217B" w:rsidRDefault="00DD217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2018</w:t>
            </w:r>
          </w:p>
        </w:tc>
      </w:tr>
      <w:tr w:rsidR="00DD217B" w:rsidRPr="005C782A">
        <w:trPr>
          <w:trHeight w:hRule="exact" w:val="15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Default="00DD2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we provide ELSA support for all children with identified need across the school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C87E7E" w:rsidRDefault="00DD217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ELSA TA to provide regular support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C87E7E" w:rsidRDefault="00DD217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 trained staff can have a positive impact on supporting children with emotional needs. This, in turn, will have positive impact on achievement and outcomes.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C87E7E" w:rsidRDefault="00DD217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SENCO to monitor</w:t>
            </w:r>
          </w:p>
        </w:tc>
        <w:tc>
          <w:tcPr>
            <w:tcW w:w="1276" w:type="dxa"/>
          </w:tcPr>
          <w:p w:rsidR="00DD217B" w:rsidRDefault="00DD2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and SENDCO</w:t>
            </w:r>
          </w:p>
        </w:tc>
        <w:tc>
          <w:tcPr>
            <w:tcW w:w="1984" w:type="dxa"/>
          </w:tcPr>
          <w:p w:rsidR="00DD217B" w:rsidRDefault="00DD217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2018</w:t>
            </w:r>
          </w:p>
        </w:tc>
      </w:tr>
      <w:tr w:rsidR="00DD217B" w:rsidRPr="005C782A">
        <w:trPr>
          <w:trHeight w:hRule="exact" w:val="15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Default="00DD2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improve the quality of formative and summative assessment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Default="00DD217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C87E7E">
              <w:rPr>
                <w:rFonts w:ascii="Arial" w:hAnsi="Arial" w:cs="Arial"/>
                <w:sz w:val="18"/>
                <w:szCs w:val="18"/>
              </w:rPr>
              <w:t>INSET for teachers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in-school training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Default="00DD217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Being able to assess where the child ‘is at’ allows learning to be set at the appropriate level and targets set to improve attainment and progression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Default="00DD217B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 pupil progress meetings, learning walks, lesson observations and work scrutinies.</w:t>
            </w:r>
          </w:p>
        </w:tc>
        <w:tc>
          <w:tcPr>
            <w:tcW w:w="1276" w:type="dxa"/>
          </w:tcPr>
          <w:p w:rsidR="00DD217B" w:rsidRDefault="00DD2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Head, Deputy and SENDCO</w:t>
            </w:r>
          </w:p>
        </w:tc>
        <w:tc>
          <w:tcPr>
            <w:tcW w:w="1984" w:type="dxa"/>
          </w:tcPr>
          <w:p w:rsidR="00DD217B" w:rsidRDefault="00DD217B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 – data at the end of each term and then the end of year</w:t>
            </w:r>
          </w:p>
        </w:tc>
      </w:tr>
      <w:tr w:rsidR="00DD217B" w:rsidRPr="005C782A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right"/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>Total budgeted cost</w:t>
            </w:r>
          </w:p>
        </w:tc>
        <w:tc>
          <w:tcPr>
            <w:tcW w:w="1984" w:type="dxa"/>
          </w:tcPr>
          <w:p w:rsidR="00DD217B" w:rsidRPr="006C200B" w:rsidRDefault="00DD217B" w:rsidP="00F85CBD">
            <w:pPr>
              <w:rPr>
                <w:rFonts w:ascii="Arial" w:hAnsi="Arial" w:cs="Arial"/>
                <w:sz w:val="20"/>
                <w:szCs w:val="20"/>
              </w:rPr>
            </w:pPr>
            <w:r w:rsidRPr="006C200B">
              <w:rPr>
                <w:rFonts w:ascii="Arial" w:hAnsi="Arial" w:cs="Arial"/>
                <w:sz w:val="20"/>
                <w:szCs w:val="20"/>
              </w:rPr>
              <w:t>£3500</w:t>
            </w:r>
          </w:p>
        </w:tc>
      </w:tr>
      <w:tr w:rsidR="00DD217B" w:rsidRPr="005C782A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Targeted support</w:t>
            </w:r>
          </w:p>
        </w:tc>
      </w:tr>
      <w:tr w:rsidR="00DD217B" w:rsidRPr="005C782A"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5C782A" w:rsidRDefault="00DD217B" w:rsidP="000A25FC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How will you ensure it is implemented well?</w:t>
            </w:r>
          </w:p>
        </w:tc>
        <w:tc>
          <w:tcPr>
            <w:tcW w:w="1276" w:type="dxa"/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Staff lead</w:t>
            </w:r>
          </w:p>
        </w:tc>
        <w:tc>
          <w:tcPr>
            <w:tcW w:w="1984" w:type="dxa"/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When will you review implementation?</w:t>
            </w:r>
          </w:p>
        </w:tc>
      </w:tr>
      <w:tr w:rsidR="00DD217B" w:rsidRPr="005C782A">
        <w:trPr>
          <w:trHeight w:hRule="exact" w:val="130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9A036E" w:rsidRDefault="00DD217B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Focus on high quality teaching for all pupils with targeted additional interventions for PP pupils.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Default="00DD217B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Timetabled, focused intervention for individuals/groups. Short, sharp bursts including mental maths sessions and writing intervention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217B" w:rsidRDefault="00DD217B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217B" w:rsidRDefault="00DD217B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:rsidR="00DD217B" w:rsidRPr="009A036E" w:rsidRDefault="00DD217B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9A036E" w:rsidRDefault="00DD217B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Immediate support during, and straight after whole class teaching is very effective in challenging misconceptions and guiding further steps in learning for individuals and small groups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9A036E" w:rsidRDefault="00DD217B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Regular assessment points and evaluation of strategies put in place for individuals and groups.  SEN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A036E">
              <w:rPr>
                <w:rFonts w:ascii="Arial" w:hAnsi="Arial" w:cs="Arial"/>
                <w:sz w:val="18"/>
                <w:szCs w:val="18"/>
              </w:rPr>
              <w:t>CO to work with TAs and ensure all training needs catered for.</w:t>
            </w:r>
          </w:p>
        </w:tc>
        <w:tc>
          <w:tcPr>
            <w:tcW w:w="1276" w:type="dxa"/>
          </w:tcPr>
          <w:p w:rsidR="00DD217B" w:rsidRPr="005C782A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Head, Deputy and SENDCO</w:t>
            </w:r>
          </w:p>
        </w:tc>
        <w:tc>
          <w:tcPr>
            <w:tcW w:w="1984" w:type="dxa"/>
          </w:tcPr>
          <w:p w:rsidR="00DD217B" w:rsidRPr="005C782A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 – data at the end of each term and then the end of year</w:t>
            </w:r>
          </w:p>
        </w:tc>
      </w:tr>
      <w:tr w:rsidR="00DD217B" w:rsidRPr="005C782A">
        <w:trPr>
          <w:trHeight w:hRule="exact" w:val="130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9A036E" w:rsidRDefault="00DD217B" w:rsidP="00E86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meet the emotional needs of all PP children through regular ELSA sessions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9A036E" w:rsidRDefault="00DD217B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afternoon per week led by ELSA TA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9A036E" w:rsidRDefault="00DD217B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ELSA support to have a positive impact on the emotional wellbeing of the child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9A036E" w:rsidRDefault="00DD217B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SENDCO to monitor</w:t>
            </w:r>
          </w:p>
        </w:tc>
        <w:tc>
          <w:tcPr>
            <w:tcW w:w="1276" w:type="dxa"/>
          </w:tcPr>
          <w:p w:rsidR="00DD217B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SENDCO</w:t>
            </w:r>
          </w:p>
        </w:tc>
        <w:tc>
          <w:tcPr>
            <w:tcW w:w="1984" w:type="dxa"/>
          </w:tcPr>
          <w:p w:rsidR="00DD217B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On-going – data at the end of each term and then the end of year</w:t>
            </w:r>
          </w:p>
        </w:tc>
      </w:tr>
      <w:tr w:rsidR="00DD217B" w:rsidRPr="005C782A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right"/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>Total budgeted cost</w:t>
            </w:r>
          </w:p>
        </w:tc>
        <w:tc>
          <w:tcPr>
            <w:tcW w:w="1984" w:type="dxa"/>
          </w:tcPr>
          <w:p w:rsidR="00DD217B" w:rsidRPr="006C200B" w:rsidRDefault="00DD217B" w:rsidP="000315F8">
            <w:pPr>
              <w:rPr>
                <w:rFonts w:ascii="Arial" w:hAnsi="Arial" w:cs="Arial"/>
                <w:sz w:val="20"/>
                <w:szCs w:val="20"/>
              </w:rPr>
            </w:pPr>
            <w:r w:rsidRPr="006C200B">
              <w:rPr>
                <w:rFonts w:ascii="Arial" w:hAnsi="Arial" w:cs="Arial"/>
                <w:sz w:val="20"/>
                <w:szCs w:val="20"/>
              </w:rPr>
              <w:t>£9000</w:t>
            </w:r>
          </w:p>
        </w:tc>
      </w:tr>
      <w:tr w:rsidR="00DD217B" w:rsidRPr="005C782A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Other approaches</w:t>
            </w:r>
          </w:p>
        </w:tc>
      </w:tr>
      <w:tr w:rsidR="00DD217B" w:rsidRPr="005C782A"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5C782A" w:rsidRDefault="00DD217B" w:rsidP="000A25FC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How will you ensure it is implemented well?</w:t>
            </w:r>
          </w:p>
        </w:tc>
        <w:tc>
          <w:tcPr>
            <w:tcW w:w="1276" w:type="dxa"/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Staff lead</w:t>
            </w:r>
          </w:p>
        </w:tc>
        <w:tc>
          <w:tcPr>
            <w:tcW w:w="1984" w:type="dxa"/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When will you review implementation?</w:t>
            </w:r>
          </w:p>
        </w:tc>
      </w:tr>
      <w:tr w:rsidR="00DD217B" w:rsidRPr="005C782A">
        <w:trPr>
          <w:trHeight w:val="101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9A036E" w:rsidRDefault="00DD217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Increased attendance rates for pupils eligible for P</w:t>
            </w:r>
            <w:r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5A041C" w:rsidRDefault="00DD217B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5A041C">
              <w:rPr>
                <w:rFonts w:ascii="Arial" w:hAnsi="Arial" w:cs="Arial"/>
                <w:sz w:val="18"/>
                <w:szCs w:val="18"/>
              </w:rPr>
              <w:t>Gillingham Area Schools Partnership  Attendance strategy to be used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5A041C" w:rsidRDefault="00DD217B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5A041C">
              <w:rPr>
                <w:rFonts w:ascii="Arial" w:hAnsi="Arial" w:cs="Arial"/>
                <w:sz w:val="18"/>
                <w:szCs w:val="18"/>
              </w:rPr>
              <w:t>Pupils with no absence are 1.6 times more likely to achieve ARE or above, and 4.7 times more likely to achieve above ARE or above, than pupils that missed 15-20 per cent of all sessions. (DfE research report Feb 2015)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5A041C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5A041C">
              <w:rPr>
                <w:rFonts w:ascii="Arial" w:hAnsi="Arial" w:cs="Arial"/>
                <w:sz w:val="18"/>
                <w:szCs w:val="18"/>
              </w:rPr>
              <w:t>Weekly and half termly reviews of attendance followed up by phone calls and letters informing parents of attendance policy</w:t>
            </w:r>
          </w:p>
        </w:tc>
        <w:tc>
          <w:tcPr>
            <w:tcW w:w="1276" w:type="dxa"/>
          </w:tcPr>
          <w:p w:rsidR="00DD217B" w:rsidRPr="005C782A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and Deputy</w:t>
            </w:r>
          </w:p>
        </w:tc>
        <w:tc>
          <w:tcPr>
            <w:tcW w:w="1984" w:type="dxa"/>
          </w:tcPr>
          <w:p w:rsidR="00DD217B" w:rsidRPr="005C782A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2018</w:t>
            </w:r>
          </w:p>
        </w:tc>
      </w:tr>
      <w:tr w:rsidR="00DD217B" w:rsidRPr="005C782A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9A036E" w:rsidRDefault="00DD217B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9A036E">
              <w:rPr>
                <w:rFonts w:ascii="Arial" w:hAnsi="Arial" w:cs="Arial"/>
                <w:sz w:val="18"/>
                <w:szCs w:val="18"/>
              </w:rPr>
              <w:t>PP children to have access to high quality experiences within and beyond the school day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DD217B" w:rsidRPr="005A041C" w:rsidRDefault="00DD217B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5A041C">
              <w:rPr>
                <w:rFonts w:ascii="Arial" w:hAnsi="Arial" w:cs="Arial"/>
                <w:sz w:val="18"/>
                <w:szCs w:val="18"/>
              </w:rPr>
              <w:t>Support for extra activities such as Residential visits and school trips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DD217B" w:rsidRPr="005A041C" w:rsidRDefault="00DD217B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5A041C">
              <w:rPr>
                <w:rFonts w:ascii="Arial" w:hAnsi="Arial" w:cs="Arial"/>
                <w:sz w:val="18"/>
                <w:szCs w:val="18"/>
              </w:rPr>
              <w:t>Children who are ‘experientially rich’ are more able to write about their experiences and have a more developed world view.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D217B" w:rsidRPr="005A041C" w:rsidRDefault="00DD217B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5A041C">
              <w:rPr>
                <w:rFonts w:ascii="Arial" w:hAnsi="Arial" w:cs="Arial"/>
                <w:sz w:val="18"/>
                <w:szCs w:val="18"/>
              </w:rPr>
              <w:t>PP children will have had a wide range of extra-curricular experiences through the year.</w:t>
            </w:r>
          </w:p>
        </w:tc>
        <w:tc>
          <w:tcPr>
            <w:tcW w:w="1276" w:type="dxa"/>
          </w:tcPr>
          <w:p w:rsidR="00DD217B" w:rsidRPr="005C782A" w:rsidRDefault="00DD217B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and Deputy</w:t>
            </w:r>
          </w:p>
        </w:tc>
        <w:tc>
          <w:tcPr>
            <w:tcW w:w="1984" w:type="dxa"/>
          </w:tcPr>
          <w:p w:rsidR="00DD217B" w:rsidRPr="005C782A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2018</w:t>
            </w:r>
          </w:p>
        </w:tc>
      </w:tr>
      <w:tr w:rsidR="00DD217B" w:rsidRPr="005C782A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jc w:val="right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Total budgeted cost</w:t>
            </w:r>
          </w:p>
        </w:tc>
        <w:tc>
          <w:tcPr>
            <w:tcW w:w="1984" w:type="dxa"/>
          </w:tcPr>
          <w:p w:rsidR="00DD217B" w:rsidRPr="006C200B" w:rsidRDefault="00DD217B" w:rsidP="000315F8">
            <w:pPr>
              <w:rPr>
                <w:rFonts w:ascii="Arial" w:hAnsi="Arial" w:cs="Arial"/>
                <w:sz w:val="20"/>
                <w:szCs w:val="20"/>
              </w:rPr>
            </w:pPr>
            <w:r w:rsidRPr="006C200B"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</w:tr>
    </w:tbl>
    <w:p w:rsidR="00DD217B" w:rsidRDefault="00DD217B">
      <w:r>
        <w:br w:type="page"/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4253"/>
        <w:gridCol w:w="5103"/>
        <w:gridCol w:w="1417"/>
      </w:tblGrid>
      <w:tr w:rsidR="00DD217B" w:rsidRPr="005C782A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Review of expenditure </w:t>
            </w:r>
          </w:p>
        </w:tc>
      </w:tr>
      <w:tr w:rsidR="00DD217B" w:rsidRPr="005C782A">
        <w:tc>
          <w:tcPr>
            <w:tcW w:w="4219" w:type="dxa"/>
            <w:gridSpan w:val="2"/>
            <w:tcMar>
              <w:top w:w="57" w:type="dxa"/>
              <w:bottom w:w="57" w:type="dxa"/>
            </w:tcMar>
          </w:tcPr>
          <w:p w:rsidR="00DD217B" w:rsidRPr="005C782A" w:rsidRDefault="00DD217B" w:rsidP="000B25ED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Previous Academic Year</w:t>
            </w:r>
          </w:p>
        </w:tc>
        <w:tc>
          <w:tcPr>
            <w:tcW w:w="10773" w:type="dxa"/>
            <w:gridSpan w:val="3"/>
          </w:tcPr>
          <w:p w:rsidR="00DD217B" w:rsidRPr="005C782A" w:rsidRDefault="00DD217B" w:rsidP="005C782A">
            <w:pPr>
              <w:pStyle w:val="ListParagraph"/>
              <w:ind w:left="567"/>
              <w:rPr>
                <w:rFonts w:ascii="Arial" w:hAnsi="Arial" w:cs="Arial"/>
                <w:b/>
                <w:bCs/>
              </w:rPr>
            </w:pPr>
          </w:p>
        </w:tc>
      </w:tr>
      <w:tr w:rsidR="00DD217B" w:rsidRPr="005C782A">
        <w:tc>
          <w:tcPr>
            <w:tcW w:w="14992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Quality of teaching for all</w:t>
            </w:r>
          </w:p>
        </w:tc>
      </w:tr>
      <w:tr w:rsidR="00DD217B" w:rsidRPr="005C782A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DD217B" w:rsidRPr="005C782A" w:rsidRDefault="00DD217B" w:rsidP="006F2883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Estimated impact: </w:t>
            </w:r>
            <w:r w:rsidRPr="005C782A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DD217B" w:rsidRPr="005C782A" w:rsidRDefault="00DD217B" w:rsidP="009079EE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:rsidR="00DD217B" w:rsidRPr="005C782A" w:rsidRDefault="00DD217B" w:rsidP="007335B7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782A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DD217B" w:rsidRPr="005C782A">
        <w:trPr>
          <w:trHeight w:hRule="exact" w:val="245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78735C" w:rsidRDefault="00DD217B" w:rsidP="00620176">
            <w:pPr>
              <w:rPr>
                <w:rFonts w:ascii="Arial" w:hAnsi="Arial" w:cs="Arial"/>
                <w:sz w:val="18"/>
                <w:szCs w:val="18"/>
              </w:rPr>
            </w:pPr>
            <w:r w:rsidRPr="0078735C">
              <w:rPr>
                <w:rFonts w:ascii="Arial" w:hAnsi="Arial" w:cs="Arial"/>
                <w:sz w:val="18"/>
                <w:szCs w:val="18"/>
              </w:rPr>
              <w:t>For the PP children to do as well or better in KS2 SATs than other non-PP children in our school and the National average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D217B" w:rsidRPr="00CE3BEF" w:rsidRDefault="00DD217B" w:rsidP="00CD68B1">
            <w:pPr>
              <w:pStyle w:val="Default"/>
              <w:rPr>
                <w:color w:val="auto"/>
                <w:sz w:val="18"/>
                <w:szCs w:val="18"/>
              </w:rPr>
            </w:pPr>
            <w:r w:rsidRPr="00CE3BEF">
              <w:rPr>
                <w:color w:val="auto"/>
                <w:sz w:val="18"/>
                <w:szCs w:val="18"/>
              </w:rPr>
              <w:t>Quality Teaching throughout the school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DD217B" w:rsidRDefault="00DD217B" w:rsidP="00CE3BEF">
            <w:pPr>
              <w:pStyle w:val="Default"/>
              <w:rPr>
                <w:sz w:val="18"/>
                <w:szCs w:val="18"/>
              </w:rPr>
            </w:pPr>
            <w:r w:rsidRPr="00CE3BEF">
              <w:rPr>
                <w:sz w:val="18"/>
                <w:szCs w:val="18"/>
              </w:rPr>
              <w:t>Res</w:t>
            </w:r>
            <w:r>
              <w:rPr>
                <w:sz w:val="18"/>
                <w:szCs w:val="18"/>
              </w:rPr>
              <w:t xml:space="preserve">ults as follows: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5"/>
              <w:gridCol w:w="1005"/>
              <w:gridCol w:w="1006"/>
              <w:gridCol w:w="1006"/>
            </w:tblGrid>
            <w:tr w:rsidR="00DD217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CE3BE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CE3B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A10E1">
                    <w:rPr>
                      <w:sz w:val="18"/>
                      <w:szCs w:val="18"/>
                    </w:rPr>
                    <w:t xml:space="preserve">PP (x </w:t>
                  </w:r>
                  <w:r>
                    <w:rPr>
                      <w:sz w:val="18"/>
                      <w:szCs w:val="18"/>
                    </w:rPr>
                    <w:t xml:space="preserve">5 </w:t>
                  </w:r>
                  <w:r w:rsidRPr="006A10E1">
                    <w:rPr>
                      <w:sz w:val="18"/>
                      <w:szCs w:val="18"/>
                    </w:rPr>
                    <w:t>pupils)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CE3B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A10E1">
                    <w:rPr>
                      <w:sz w:val="18"/>
                      <w:szCs w:val="18"/>
                    </w:rPr>
                    <w:t>Nat Average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CE3B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A10E1">
                    <w:rPr>
                      <w:sz w:val="18"/>
                      <w:szCs w:val="18"/>
                    </w:rPr>
                    <w:t>Non PP</w:t>
                  </w:r>
                </w:p>
              </w:tc>
            </w:tr>
            <w:tr w:rsidR="00DD217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CE3B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A10E1">
                    <w:rPr>
                      <w:sz w:val="18"/>
                      <w:szCs w:val="18"/>
                    </w:rPr>
                    <w:t>Reading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58%</w:t>
                  </w:r>
                </w:p>
              </w:tc>
            </w:tr>
            <w:tr w:rsidR="00DD217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CE3B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A10E1">
                    <w:rPr>
                      <w:sz w:val="18"/>
                      <w:szCs w:val="18"/>
                    </w:rPr>
                    <w:t xml:space="preserve">Writing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63%</w:t>
                  </w:r>
                </w:p>
              </w:tc>
            </w:tr>
            <w:tr w:rsidR="00DD217B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CE3BE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A10E1">
                    <w:rPr>
                      <w:sz w:val="18"/>
                      <w:szCs w:val="18"/>
                    </w:rPr>
                    <w:t>Maths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70%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17B" w:rsidRPr="006A10E1" w:rsidRDefault="00DD217B" w:rsidP="003D759D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71%</w:t>
                  </w:r>
                </w:p>
              </w:tc>
            </w:tr>
          </w:tbl>
          <w:p w:rsidR="00DD217B" w:rsidRPr="00CE3BEF" w:rsidRDefault="00DD217B" w:rsidP="00CE3B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DD217B" w:rsidRPr="00045F42" w:rsidRDefault="00DD217B" w:rsidP="00EE4D95">
            <w:pPr>
              <w:pStyle w:val="Default"/>
              <w:rPr>
                <w:sz w:val="18"/>
                <w:szCs w:val="18"/>
              </w:rPr>
            </w:pPr>
            <w:r w:rsidRPr="00045F42">
              <w:rPr>
                <w:sz w:val="18"/>
                <w:szCs w:val="18"/>
              </w:rPr>
              <w:t>This was a cohort with significant need with 2 children arriving for the end of Year 5 and one for Year 6. Four of the five children were on the SEND register. These children made significant progress during the course of their academic year from a low start. We have also reflected on the way Writing was delivered, assessed and moderated throughout the school and in Dorset and we are taking a different approach this year.</w:t>
            </w:r>
          </w:p>
        </w:tc>
        <w:tc>
          <w:tcPr>
            <w:tcW w:w="1417" w:type="dxa"/>
          </w:tcPr>
          <w:p w:rsidR="00DD217B" w:rsidRPr="006C200B" w:rsidRDefault="00DD217B" w:rsidP="0053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Pr="006C200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DD217B" w:rsidRPr="005C782A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Targeted support</w:t>
            </w:r>
          </w:p>
        </w:tc>
      </w:tr>
      <w:tr w:rsidR="00DD217B" w:rsidRPr="005C782A"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DD217B" w:rsidRPr="005C782A" w:rsidRDefault="00DD217B" w:rsidP="00EB5AD4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Estimated impact: </w:t>
            </w:r>
            <w:r w:rsidRPr="005C782A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DD217B" w:rsidRPr="005C782A" w:rsidRDefault="00DD217B" w:rsidP="00EB5AD4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:rsidR="00DD217B" w:rsidRPr="005C782A" w:rsidRDefault="00DD217B" w:rsidP="00EB5AD4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DD217B" w:rsidRPr="005C782A">
        <w:trPr>
          <w:trHeight w:hRule="exact" w:val="174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891EA7" w:rsidRDefault="00DD217B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891EA7">
              <w:rPr>
                <w:rFonts w:ascii="Arial" w:hAnsi="Arial" w:cs="Arial"/>
                <w:sz w:val="18"/>
                <w:szCs w:val="18"/>
              </w:rPr>
              <w:t>For PP children to get appropriate support that will enable them to reach ARE or above by the end of the year, or make significant progress towards that goal.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D217B" w:rsidRPr="00891EA7" w:rsidRDefault="00DD217B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891EA7">
              <w:rPr>
                <w:rFonts w:ascii="Arial" w:hAnsi="Arial" w:cs="Arial"/>
                <w:sz w:val="18"/>
                <w:szCs w:val="18"/>
              </w:rPr>
              <w:t>To provide small group and individual interventions for PP children, with a particular focus on Writing and Maths programme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DD217B" w:rsidRPr="00891EA7" w:rsidRDefault="00DD217B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As shown above, although </w:t>
            </w:r>
            <w:r w:rsidRPr="00891EA7">
              <w:rPr>
                <w:color w:val="auto"/>
                <w:sz w:val="18"/>
                <w:szCs w:val="18"/>
              </w:rPr>
              <w:t>child</w:t>
            </w:r>
            <w:r>
              <w:rPr>
                <w:color w:val="auto"/>
                <w:sz w:val="18"/>
                <w:szCs w:val="18"/>
              </w:rPr>
              <w:t>ren</w:t>
            </w:r>
            <w:r w:rsidRPr="00891EA7">
              <w:rPr>
                <w:color w:val="auto"/>
                <w:sz w:val="18"/>
                <w:szCs w:val="18"/>
              </w:rPr>
              <w:t xml:space="preserve"> in year 6 didn’t make ARE in the Literacy areas, PP children in other cohorts made good progress from their starting points.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DD217B" w:rsidRPr="00891EA7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891EA7">
              <w:rPr>
                <w:rFonts w:ascii="Arial" w:hAnsi="Arial" w:cs="Arial"/>
                <w:sz w:val="18"/>
                <w:szCs w:val="18"/>
              </w:rPr>
              <w:t>We will continue with the targeted interventions, and increase staff training in Literacy and Maths to improve the consisten</w:t>
            </w:r>
            <w:r>
              <w:rPr>
                <w:rFonts w:ascii="Arial" w:hAnsi="Arial" w:cs="Arial"/>
                <w:sz w:val="18"/>
                <w:szCs w:val="18"/>
              </w:rPr>
              <w:t>cy of quality in these sessions</w:t>
            </w:r>
            <w:r w:rsidRPr="00891E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D217B" w:rsidRPr="006C200B" w:rsidRDefault="00DD217B" w:rsidP="00530007">
            <w:pPr>
              <w:rPr>
                <w:rFonts w:ascii="Arial" w:hAnsi="Arial" w:cs="Arial"/>
                <w:sz w:val="20"/>
                <w:szCs w:val="20"/>
              </w:rPr>
            </w:pPr>
            <w:r w:rsidRPr="006C200B"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</w:tr>
      <w:tr w:rsidR="00DD217B" w:rsidRPr="005C782A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Other approaches</w:t>
            </w:r>
          </w:p>
        </w:tc>
      </w:tr>
      <w:tr w:rsidR="00DD217B" w:rsidRPr="005C782A"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D217B" w:rsidRPr="005C782A" w:rsidRDefault="00DD217B" w:rsidP="008D2DAF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DD217B" w:rsidRPr="005C782A" w:rsidRDefault="00DD217B" w:rsidP="00EB5AD4">
            <w:pPr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Estimated impact: </w:t>
            </w:r>
            <w:r w:rsidRPr="005C782A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DD217B" w:rsidRPr="005C782A" w:rsidRDefault="00DD217B" w:rsidP="00EB5AD4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 xml:space="preserve">Lessons learned </w:t>
            </w:r>
          </w:p>
          <w:p w:rsidR="00DD217B" w:rsidRPr="005C782A" w:rsidRDefault="00DD217B" w:rsidP="00EB5AD4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DD217B" w:rsidRPr="005C782A" w:rsidRDefault="00DD217B" w:rsidP="001E7B91">
            <w:pPr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DD217B" w:rsidRPr="005C782A">
        <w:trPr>
          <w:trHeight w:hRule="exact" w:val="174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DD217B" w:rsidRPr="00891EA7" w:rsidRDefault="00DD217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support PP families to be able to access all curriculum and learning opportunities.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DD217B" w:rsidRPr="00891EA7" w:rsidRDefault="00DD217B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families able to access support for residentials, school trips, uniform, extra-curricular activites etc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:rsidR="00DD217B" w:rsidRPr="000B542C" w:rsidRDefault="00DD217B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 families to access learning/curriculum opportunities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DD217B" w:rsidRPr="000B542C" w:rsidRDefault="00DD217B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entitles to the same learning opportunities and curriculum access as non-PP</w:t>
            </w:r>
          </w:p>
        </w:tc>
        <w:tc>
          <w:tcPr>
            <w:tcW w:w="1417" w:type="dxa"/>
          </w:tcPr>
          <w:p w:rsidR="00DD217B" w:rsidRPr="006C200B" w:rsidRDefault="00DD217B" w:rsidP="00530007">
            <w:pPr>
              <w:rPr>
                <w:rFonts w:ascii="Arial" w:hAnsi="Arial" w:cs="Arial"/>
                <w:sz w:val="20"/>
                <w:szCs w:val="20"/>
              </w:rPr>
            </w:pPr>
            <w:r w:rsidRPr="006C200B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</w:tr>
    </w:tbl>
    <w:p w:rsidR="00DD217B" w:rsidRPr="00AE78F2" w:rsidRDefault="00DD217B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92"/>
      </w:tblGrid>
      <w:tr w:rsidR="00DD217B" w:rsidRPr="005C782A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  <w:bCs/>
              </w:rPr>
            </w:pPr>
            <w:r w:rsidRPr="005C782A">
              <w:rPr>
                <w:rFonts w:ascii="Arial" w:hAnsi="Arial" w:cs="Arial"/>
                <w:b/>
                <w:bCs/>
              </w:rPr>
              <w:t>Additional detail</w:t>
            </w:r>
          </w:p>
        </w:tc>
      </w:tr>
      <w:tr w:rsidR="00DD217B" w:rsidRPr="005C782A">
        <w:trPr>
          <w:trHeight w:val="1739"/>
        </w:trPr>
        <w:tc>
          <w:tcPr>
            <w:tcW w:w="14992" w:type="dxa"/>
            <w:tcMar>
              <w:top w:w="57" w:type="dxa"/>
              <w:bottom w:w="57" w:type="dxa"/>
            </w:tcMar>
          </w:tcPr>
          <w:p w:rsidR="00DD217B" w:rsidRPr="005C782A" w:rsidRDefault="00DD217B" w:rsidP="005C782A">
            <w:pPr>
              <w:pStyle w:val="ListParagraph"/>
              <w:ind w:left="567"/>
              <w:rPr>
                <w:rFonts w:ascii="Arial" w:hAnsi="Arial" w:cs="Arial"/>
              </w:rPr>
            </w:pPr>
            <w:r w:rsidRPr="005C782A">
              <w:rPr>
                <w:rFonts w:ascii="Arial" w:hAnsi="Arial" w:cs="Arial"/>
              </w:rPr>
              <w:t xml:space="preserve">In this section you can annex or refer to </w:t>
            </w:r>
            <w:r w:rsidRPr="005C782A">
              <w:rPr>
                <w:rFonts w:ascii="Arial" w:hAnsi="Arial" w:cs="Arial"/>
                <w:b/>
                <w:bCs/>
              </w:rPr>
              <w:t>additional</w:t>
            </w:r>
            <w:r w:rsidRPr="005C782A">
              <w:rPr>
                <w:rFonts w:ascii="Arial" w:hAnsi="Arial" w:cs="Arial"/>
              </w:rPr>
              <w:t xml:space="preserve"> information which you have used to inform the statement above.</w:t>
            </w:r>
          </w:p>
          <w:p w:rsidR="00DD217B" w:rsidRDefault="00DD217B" w:rsidP="005C782A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5C782A">
              <w:rPr>
                <w:rFonts w:ascii="Arial" w:hAnsi="Arial" w:cs="Arial"/>
                <w:sz w:val="18"/>
                <w:szCs w:val="18"/>
              </w:rPr>
              <w:t xml:space="preserve">Our full strategy document can be found online at: www.aschool.sch.uk </w:t>
            </w:r>
          </w:p>
          <w:p w:rsidR="00DD217B" w:rsidRPr="000B542C" w:rsidRDefault="00DD217B" w:rsidP="005C782A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217B" w:rsidRDefault="00DD217B" w:rsidP="0004731E"/>
    <w:sectPr w:rsidR="00DD217B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7B" w:rsidRDefault="00DD217B" w:rsidP="00CD68B1">
      <w:r>
        <w:separator/>
      </w:r>
    </w:p>
  </w:endnote>
  <w:endnote w:type="continuationSeparator" w:id="0">
    <w:p w:rsidR="00DD217B" w:rsidRDefault="00DD217B" w:rsidP="00CD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7B" w:rsidRDefault="00DD217B" w:rsidP="00CD68B1">
      <w:r>
        <w:separator/>
      </w:r>
    </w:p>
  </w:footnote>
  <w:footnote w:type="continuationSeparator" w:id="0">
    <w:p w:rsidR="00DD217B" w:rsidRDefault="00DD217B" w:rsidP="00CD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72"/>
    <w:rsid w:val="000011EF"/>
    <w:rsid w:val="00004FB6"/>
    <w:rsid w:val="00014419"/>
    <w:rsid w:val="0002775D"/>
    <w:rsid w:val="000315F8"/>
    <w:rsid w:val="0004399F"/>
    <w:rsid w:val="00045F42"/>
    <w:rsid w:val="0004731E"/>
    <w:rsid w:val="000473C9"/>
    <w:rsid w:val="000501F0"/>
    <w:rsid w:val="00052324"/>
    <w:rsid w:val="000557F9"/>
    <w:rsid w:val="0006219B"/>
    <w:rsid w:val="00063367"/>
    <w:rsid w:val="000676BC"/>
    <w:rsid w:val="000935BB"/>
    <w:rsid w:val="000A25FC"/>
    <w:rsid w:val="000B25ED"/>
    <w:rsid w:val="000B5413"/>
    <w:rsid w:val="000B542C"/>
    <w:rsid w:val="000C37C2"/>
    <w:rsid w:val="000C4CF8"/>
    <w:rsid w:val="000D0B47"/>
    <w:rsid w:val="000D480D"/>
    <w:rsid w:val="000D7ED1"/>
    <w:rsid w:val="000E4243"/>
    <w:rsid w:val="000E6DCC"/>
    <w:rsid w:val="000F217B"/>
    <w:rsid w:val="00110F8E"/>
    <w:rsid w:val="001137CF"/>
    <w:rsid w:val="00117186"/>
    <w:rsid w:val="00121D72"/>
    <w:rsid w:val="00125340"/>
    <w:rsid w:val="00125BA7"/>
    <w:rsid w:val="00131CA9"/>
    <w:rsid w:val="001849D6"/>
    <w:rsid w:val="001B0692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364D"/>
    <w:rsid w:val="00267F85"/>
    <w:rsid w:val="002856C3"/>
    <w:rsid w:val="002954A6"/>
    <w:rsid w:val="002962F2"/>
    <w:rsid w:val="002B3394"/>
    <w:rsid w:val="002C0033"/>
    <w:rsid w:val="002D0A33"/>
    <w:rsid w:val="002D22A0"/>
    <w:rsid w:val="002D24CA"/>
    <w:rsid w:val="002E05B8"/>
    <w:rsid w:val="002E686F"/>
    <w:rsid w:val="002F6FB5"/>
    <w:rsid w:val="00320C3A"/>
    <w:rsid w:val="00337056"/>
    <w:rsid w:val="00351952"/>
    <w:rsid w:val="00360D03"/>
    <w:rsid w:val="00360E1A"/>
    <w:rsid w:val="00366499"/>
    <w:rsid w:val="00372981"/>
    <w:rsid w:val="00380587"/>
    <w:rsid w:val="003822C1"/>
    <w:rsid w:val="00390402"/>
    <w:rsid w:val="003957BD"/>
    <w:rsid w:val="003961A3"/>
    <w:rsid w:val="003A0B18"/>
    <w:rsid w:val="003B5C5D"/>
    <w:rsid w:val="003B6371"/>
    <w:rsid w:val="003B7634"/>
    <w:rsid w:val="003C34C7"/>
    <w:rsid w:val="003C79F6"/>
    <w:rsid w:val="003D2143"/>
    <w:rsid w:val="003D759D"/>
    <w:rsid w:val="003F41B5"/>
    <w:rsid w:val="003F7BE2"/>
    <w:rsid w:val="004029AD"/>
    <w:rsid w:val="00402EED"/>
    <w:rsid w:val="004107D2"/>
    <w:rsid w:val="00412C2C"/>
    <w:rsid w:val="00423264"/>
    <w:rsid w:val="00434CE3"/>
    <w:rsid w:val="00435936"/>
    <w:rsid w:val="004450A7"/>
    <w:rsid w:val="00456ABA"/>
    <w:rsid w:val="00457897"/>
    <w:rsid w:val="004642B2"/>
    <w:rsid w:val="004642BC"/>
    <w:rsid w:val="004667CF"/>
    <w:rsid w:val="004667DB"/>
    <w:rsid w:val="00481041"/>
    <w:rsid w:val="0049188F"/>
    <w:rsid w:val="00492683"/>
    <w:rsid w:val="00496D7D"/>
    <w:rsid w:val="004B1C29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1CE5"/>
    <w:rsid w:val="0059275A"/>
    <w:rsid w:val="00597346"/>
    <w:rsid w:val="005A041C"/>
    <w:rsid w:val="005A04D4"/>
    <w:rsid w:val="005A25B5"/>
    <w:rsid w:val="005A3451"/>
    <w:rsid w:val="005C782A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A10E1"/>
    <w:rsid w:val="006B358C"/>
    <w:rsid w:val="006C200B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87233"/>
    <w:rsid w:val="0078735C"/>
    <w:rsid w:val="00797116"/>
    <w:rsid w:val="007A2742"/>
    <w:rsid w:val="007B0094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56557"/>
    <w:rsid w:val="00863790"/>
    <w:rsid w:val="00864593"/>
    <w:rsid w:val="0088412D"/>
    <w:rsid w:val="00891EA7"/>
    <w:rsid w:val="008B7FE5"/>
    <w:rsid w:val="008C10E9"/>
    <w:rsid w:val="008D2DAF"/>
    <w:rsid w:val="008D387F"/>
    <w:rsid w:val="008D58CE"/>
    <w:rsid w:val="008E364E"/>
    <w:rsid w:val="008E64E9"/>
    <w:rsid w:val="008F0F73"/>
    <w:rsid w:val="008F69EC"/>
    <w:rsid w:val="009021E8"/>
    <w:rsid w:val="0090400A"/>
    <w:rsid w:val="009079EE"/>
    <w:rsid w:val="00914D6D"/>
    <w:rsid w:val="00915380"/>
    <w:rsid w:val="00917D70"/>
    <w:rsid w:val="009242F1"/>
    <w:rsid w:val="00972129"/>
    <w:rsid w:val="009841D9"/>
    <w:rsid w:val="00992C5E"/>
    <w:rsid w:val="009A036E"/>
    <w:rsid w:val="009E7A9D"/>
    <w:rsid w:val="009F1341"/>
    <w:rsid w:val="009F480D"/>
    <w:rsid w:val="00A00036"/>
    <w:rsid w:val="00A0384E"/>
    <w:rsid w:val="00A13FBB"/>
    <w:rsid w:val="00A24C51"/>
    <w:rsid w:val="00A32773"/>
    <w:rsid w:val="00A33F73"/>
    <w:rsid w:val="00A37195"/>
    <w:rsid w:val="00A37D2D"/>
    <w:rsid w:val="00A439AF"/>
    <w:rsid w:val="00A57107"/>
    <w:rsid w:val="00A575EA"/>
    <w:rsid w:val="00A60ECF"/>
    <w:rsid w:val="00A6273A"/>
    <w:rsid w:val="00A6366C"/>
    <w:rsid w:val="00A77153"/>
    <w:rsid w:val="00A8709B"/>
    <w:rsid w:val="00AB4E99"/>
    <w:rsid w:val="00AB5B2A"/>
    <w:rsid w:val="00AB7719"/>
    <w:rsid w:val="00AC4559"/>
    <w:rsid w:val="00AE66C2"/>
    <w:rsid w:val="00AE77EC"/>
    <w:rsid w:val="00AE78F2"/>
    <w:rsid w:val="00AF604F"/>
    <w:rsid w:val="00AF62B0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BF781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87E7E"/>
    <w:rsid w:val="00CA1AF5"/>
    <w:rsid w:val="00CD2230"/>
    <w:rsid w:val="00CD68B1"/>
    <w:rsid w:val="00CE1584"/>
    <w:rsid w:val="00CE3BEF"/>
    <w:rsid w:val="00CF02DE"/>
    <w:rsid w:val="00CF1B9B"/>
    <w:rsid w:val="00D11A2D"/>
    <w:rsid w:val="00D309A5"/>
    <w:rsid w:val="00D35464"/>
    <w:rsid w:val="00D370F4"/>
    <w:rsid w:val="00D435BB"/>
    <w:rsid w:val="00D46E95"/>
    <w:rsid w:val="00D504EA"/>
    <w:rsid w:val="00D51EA2"/>
    <w:rsid w:val="00D82EF5"/>
    <w:rsid w:val="00D8454C"/>
    <w:rsid w:val="00D9429A"/>
    <w:rsid w:val="00DC0E87"/>
    <w:rsid w:val="00DC3F30"/>
    <w:rsid w:val="00DD217B"/>
    <w:rsid w:val="00DE33BF"/>
    <w:rsid w:val="00DE5445"/>
    <w:rsid w:val="00DF76AB"/>
    <w:rsid w:val="00E04EE8"/>
    <w:rsid w:val="00E106F9"/>
    <w:rsid w:val="00E20F63"/>
    <w:rsid w:val="00E34A8F"/>
    <w:rsid w:val="00E354EA"/>
    <w:rsid w:val="00E35628"/>
    <w:rsid w:val="00E5066A"/>
    <w:rsid w:val="00E6628C"/>
    <w:rsid w:val="00E865E4"/>
    <w:rsid w:val="00E96962"/>
    <w:rsid w:val="00E96E48"/>
    <w:rsid w:val="00EB090F"/>
    <w:rsid w:val="00EB5AD4"/>
    <w:rsid w:val="00EB7216"/>
    <w:rsid w:val="00ED01A4"/>
    <w:rsid w:val="00ED0F8C"/>
    <w:rsid w:val="00EE4D95"/>
    <w:rsid w:val="00EE50D0"/>
    <w:rsid w:val="00EF2A09"/>
    <w:rsid w:val="00EF2C1C"/>
    <w:rsid w:val="00F148B0"/>
    <w:rsid w:val="00F25DF2"/>
    <w:rsid w:val="00F30F69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272"/>
    <w:pPr>
      <w:pageBreakBefore/>
      <w:spacing w:after="240"/>
      <w:outlineLvl w:val="0"/>
    </w:pPr>
    <w:rPr>
      <w:rFonts w:ascii="Arial" w:eastAsia="Times New Roman" w:hAnsi="Arial" w:cs="Arial"/>
      <w:b/>
      <w:bCs/>
      <w:color w:val="104F75"/>
      <w:sz w:val="36"/>
      <w:szCs w:val="36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272"/>
    <w:rPr>
      <w:rFonts w:ascii="Arial" w:hAnsi="Arial" w:cs="Arial"/>
      <w:b/>
      <w:bCs/>
      <w:color w:val="104F75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99"/>
    <w:rsid w:val="00B802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7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6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E1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B1"/>
  </w:style>
  <w:style w:type="paragraph" w:styleId="Footer">
    <w:name w:val="footer"/>
    <w:basedOn w:val="Normal"/>
    <w:link w:val="Foot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B1"/>
  </w:style>
  <w:style w:type="paragraph" w:customStyle="1" w:styleId="Default">
    <w:name w:val="Default"/>
    <w:uiPriority w:val="99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uiPriority w:val="99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uiPriority w:val="99"/>
    <w:locked/>
    <w:rsid w:val="00262114"/>
    <w:rPr>
      <w:rFonts w:ascii="Arial" w:hAnsi="Arial" w:cs="Arial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</w:rPr>
  </w:style>
  <w:style w:type="character" w:customStyle="1" w:styleId="DfESOutNumberedChar">
    <w:name w:val="DfESOutNumbered Char"/>
    <w:basedOn w:val="LogosChar"/>
    <w:link w:val="DfESOutNumbered"/>
    <w:uiPriority w:val="99"/>
    <w:locked/>
    <w:rsid w:val="004B3C35"/>
    <w:rPr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DeptBulletsChar">
    <w:name w:val="DeptBullets Char"/>
    <w:basedOn w:val="LogosChar"/>
    <w:link w:val="DeptBullets"/>
    <w:uiPriority w:val="99"/>
    <w:locked/>
    <w:rsid w:val="004B3C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482</TotalTime>
  <Pages>5</Pages>
  <Words>1434</Words>
  <Characters>8175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Danielle Mason</dc:creator>
  <cp:keywords/>
  <dc:description/>
  <cp:lastModifiedBy>smcmorrin</cp:lastModifiedBy>
  <cp:revision>24</cp:revision>
  <cp:lastPrinted>2017-05-22T11:03:00Z</cp:lastPrinted>
  <dcterms:created xsi:type="dcterms:W3CDTF">2017-05-07T07:30:00Z</dcterms:created>
  <dcterms:modified xsi:type="dcterms:W3CDTF">2017-05-23T07:38:00Z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RightsProtectiveMarking">
    <vt:lpwstr>2;#Official|0884c477-2e62-47ea-b19c-5af6e91124c5</vt:lpwstr>
  </property>
  <property fmtid="{D5CDD505-2E9C-101B-9397-08002B2CF9AE}" pid="6" name="_dlc_DocIdItemGuid">
    <vt:lpwstr>f0821e4e-dd26-49cf-ba60-ef50ba05ea8d</vt:lpwstr>
  </property>
  <property fmtid="{D5CDD505-2E9C-101B-9397-08002B2CF9AE}" pid="7" name="TaxCatchAll">
    <vt:lpwstr>2;#;#56;#;#55;#</vt:lpwstr>
  </property>
  <property fmtid="{D5CDD505-2E9C-101B-9397-08002B2CF9AE}" pid="8" name="_dlc_DocId">
    <vt:lpwstr>P77SHHUCCQFT-1656113854-17249</vt:lpwstr>
  </property>
  <property fmtid="{D5CDD505-2E9C-101B-9397-08002B2CF9AE}" pid="9" name="_dlc_DocIdUrl">
    <vt:lpwstr>http://workplaces/sites/ctg/a/_layouts/DocIdRedir.aspx?ID=P77SHHUCCQFT-1656113854-17249, P77SHHUCCQFT-1656113854-17249</vt:lpwstr>
  </property>
  <property fmtid="{D5CDD505-2E9C-101B-9397-08002B2CF9AE}" pid="10" name="IWPRightsProtectiveMarkingTaxHTField0">
    <vt:lpwstr>Official0884c477-2e62-47ea-b19c-5af6e91124c5</vt:lpwstr>
  </property>
  <property fmtid="{D5CDD505-2E9C-101B-9397-08002B2CF9AE}" pid="11" name="IWPOwnerTaxHTField0">
    <vt:lpwstr>NCTA8a55f59b-7d94-44dd-a344-986d47acf947</vt:lpwstr>
  </property>
  <property fmtid="{D5CDD505-2E9C-101B-9397-08002B2CF9AE}" pid="12" name="IWPOrganisationalUnitTaxHTField0">
    <vt:lpwstr>NCTL50b03fc4-9596-44c0-8ddf-78c55856c7ae</vt:lpwstr>
  </property>
</Properties>
</file>